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E2019D" w14:textId="7BE921E8" w:rsidR="00CD3610" w:rsidRDefault="00CD3610" w:rsidP="00A43E88">
      <w:pPr>
        <w:pStyle w:val="CoverTextRed16pt"/>
        <w:ind w:left="6300"/>
        <w:rPr>
          <w:noProof/>
        </w:rPr>
      </w:pPr>
      <w:r>
        <w:rPr>
          <w:noProof/>
        </w:rPr>
        <w:drawing>
          <wp:anchor distT="0" distB="0" distL="114300" distR="114300" simplePos="0" relativeHeight="251715584" behindDoc="0" locked="1" layoutInCell="1" allowOverlap="1" wp14:anchorId="1425A96A" wp14:editId="03E0F66B">
            <wp:simplePos x="0" y="0"/>
            <wp:positionH relativeFrom="column">
              <wp:posOffset>200660</wp:posOffset>
            </wp:positionH>
            <wp:positionV relativeFrom="paragraph">
              <wp:posOffset>-366395</wp:posOffset>
            </wp:positionV>
            <wp:extent cx="1197864" cy="1197864"/>
            <wp:effectExtent l="0" t="0" r="2540" b="2540"/>
            <wp:wrapNone/>
            <wp:docPr id="6" name="Picture 6" descr="abt_assoc_logo_pms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bt_assoc_logo_pms_cmyk"/>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7864" cy="1197864"/>
                    </a:xfrm>
                    <a:prstGeom prst="rect">
                      <a:avLst/>
                    </a:prstGeom>
                    <a:noFill/>
                    <a:ln>
                      <a:noFill/>
                    </a:ln>
                  </pic:spPr>
                </pic:pic>
              </a:graphicData>
            </a:graphic>
            <wp14:sizeRelH relativeFrom="page">
              <wp14:pctWidth>0</wp14:pctWidth>
            </wp14:sizeRelH>
            <wp14:sizeRelV relativeFrom="page">
              <wp14:pctHeight>0</wp14:pctHeight>
            </wp14:sizeRelV>
          </wp:anchor>
        </w:drawing>
      </w:r>
      <w:r w:rsidR="00EC6C1C">
        <w:rPr>
          <w:noProof/>
        </w:rPr>
        <w:t>Healthcare Cost Benchmarking for Commerc</w:t>
      </w:r>
      <w:r w:rsidR="00A43E88">
        <w:rPr>
          <w:noProof/>
        </w:rPr>
        <w:t>i</w:t>
      </w:r>
      <w:r w:rsidR="00EC6C1C">
        <w:rPr>
          <w:noProof/>
        </w:rPr>
        <w:t>al Programs</w:t>
      </w:r>
    </w:p>
    <w:p w14:paraId="5064B8EE" w14:textId="77777777" w:rsidR="00CD3610" w:rsidRDefault="00CD3610" w:rsidP="00CD3610">
      <w:pPr>
        <w:pStyle w:val="CoverText-Address"/>
        <w:rPr>
          <w:noProof/>
        </w:rPr>
      </w:pPr>
    </w:p>
    <w:p w14:paraId="43175495" w14:textId="77777777" w:rsidR="00CD3610" w:rsidRDefault="00CD3610" w:rsidP="00CD3610">
      <w:pPr>
        <w:pStyle w:val="CoverText-Address"/>
      </w:pPr>
    </w:p>
    <w:p w14:paraId="7114B4F6" w14:textId="77777777" w:rsidR="00CD3610" w:rsidRDefault="00CD3610" w:rsidP="00CD3610">
      <w:pPr>
        <w:pStyle w:val="CoverText-Address"/>
      </w:pPr>
    </w:p>
    <w:p w14:paraId="4180EC5F" w14:textId="782D92A6" w:rsidR="00CD3610" w:rsidRPr="00DA62E0" w:rsidRDefault="00D67472" w:rsidP="00CD3610">
      <w:pPr>
        <w:pStyle w:val="CoverText-Address"/>
        <w:ind w:left="4860"/>
        <w:rPr>
          <w:b/>
          <w:color w:val="DA291C" w:themeColor="accent1"/>
          <w:sz w:val="28"/>
          <w:szCs w:val="28"/>
        </w:rPr>
      </w:pPr>
      <w:r>
        <w:rPr>
          <w:b/>
          <w:color w:val="DA291C" w:themeColor="accent1"/>
          <w:sz w:val="28"/>
          <w:szCs w:val="28"/>
        </w:rPr>
        <w:t>Documentation</w:t>
      </w:r>
    </w:p>
    <w:p w14:paraId="09F8BD4D" w14:textId="77777777" w:rsidR="00CD3610" w:rsidRDefault="00CD3610" w:rsidP="00CD3610">
      <w:pPr>
        <w:pStyle w:val="CoverText-Address"/>
      </w:pPr>
    </w:p>
    <w:p w14:paraId="2682DCB6" w14:textId="77777777" w:rsidR="00CD3610" w:rsidRDefault="00CD3610" w:rsidP="00CD3610">
      <w:pPr>
        <w:pStyle w:val="CoverText-Address"/>
        <w:ind w:left="5400"/>
      </w:pPr>
    </w:p>
    <w:p w14:paraId="0559EC44" w14:textId="68F446B6" w:rsidR="00CD3610" w:rsidRPr="001E2CF1" w:rsidRDefault="00CC006F" w:rsidP="00CD3610">
      <w:pPr>
        <w:pStyle w:val="CoverText-Address"/>
        <w:ind w:left="5400"/>
      </w:pPr>
      <w:r>
        <w:t xml:space="preserve">August </w:t>
      </w:r>
      <w:r w:rsidR="009249F8">
        <w:t>7</w:t>
      </w:r>
      <w:r w:rsidR="00901BB6">
        <w:t>, 20</w:t>
      </w:r>
      <w:r w:rsidR="00D67472">
        <w:t>20</w:t>
      </w:r>
    </w:p>
    <w:p w14:paraId="65C99E61" w14:textId="77777777" w:rsidR="00CD3610" w:rsidRPr="001E2CF1" w:rsidRDefault="00CD3610" w:rsidP="00CD3610">
      <w:pPr>
        <w:pStyle w:val="CoverText-Address"/>
        <w:ind w:left="5400"/>
      </w:pPr>
    </w:p>
    <w:p w14:paraId="02CDD97E" w14:textId="77777777" w:rsidR="00CD3610" w:rsidRPr="001E2CF1" w:rsidRDefault="00CD3610" w:rsidP="00CD3610">
      <w:pPr>
        <w:tabs>
          <w:tab w:val="left" w:pos="720"/>
          <w:tab w:val="left" w:pos="1080"/>
          <w:tab w:val="left" w:pos="1440"/>
          <w:tab w:val="left" w:pos="1800"/>
          <w:tab w:val="left" w:pos="6660"/>
        </w:tabs>
        <w:spacing w:after="0"/>
        <w:ind w:left="5400" w:right="-540"/>
        <w:jc w:val="right"/>
        <w:rPr>
          <w:rFonts w:ascii="Arial" w:hAnsi="Arial"/>
          <w:szCs w:val="24"/>
        </w:rPr>
      </w:pPr>
    </w:p>
    <w:p w14:paraId="2E1D599E" w14:textId="77777777" w:rsidR="00CD3610" w:rsidRDefault="00CD3610" w:rsidP="00CD3610">
      <w:pPr>
        <w:pStyle w:val="CoverText11pt"/>
        <w:ind w:left="5400"/>
      </w:pPr>
      <w:r w:rsidRPr="001E2CF1">
        <w:t>Prepared for:</w:t>
      </w:r>
    </w:p>
    <w:p w14:paraId="3703C7A3" w14:textId="4D9F8CD0" w:rsidR="00CD3610" w:rsidRPr="00F93567" w:rsidRDefault="00901BB6" w:rsidP="00CD3610">
      <w:pPr>
        <w:pStyle w:val="CoverText-Address"/>
        <w:ind w:left="5400"/>
        <w:rPr>
          <w:b/>
          <w:color w:val="FF0000"/>
        </w:rPr>
      </w:pPr>
      <w:r>
        <w:rPr>
          <w:b/>
          <w:color w:val="DA291C"/>
        </w:rPr>
        <w:t>William Henderson</w:t>
      </w:r>
    </w:p>
    <w:p w14:paraId="270E7C67" w14:textId="06D1DC77" w:rsidR="00CD3610" w:rsidRDefault="00EC6C1C" w:rsidP="00CD3610">
      <w:pPr>
        <w:pStyle w:val="CoverText-Address"/>
        <w:ind w:left="5400"/>
      </w:pPr>
      <w:r>
        <w:t>Task Order Manager</w:t>
      </w:r>
    </w:p>
    <w:p w14:paraId="7AA5B998" w14:textId="42CDE38C" w:rsidR="00EC6C1C" w:rsidRDefault="00EC6C1C" w:rsidP="00CD3610">
      <w:pPr>
        <w:pStyle w:val="CoverText-Address"/>
        <w:ind w:left="5400"/>
      </w:pPr>
      <w:r>
        <w:t>Principal Deputy Director</w:t>
      </w:r>
    </w:p>
    <w:p w14:paraId="71C73A21" w14:textId="163421AC" w:rsidR="00CD3610" w:rsidRDefault="00EC6C1C" w:rsidP="00CD3610">
      <w:pPr>
        <w:pStyle w:val="CoverText-Address"/>
        <w:ind w:left="5400"/>
      </w:pPr>
      <w:r>
        <w:t>Maryland Health Services Cost Review Commission</w:t>
      </w:r>
    </w:p>
    <w:p w14:paraId="030E0578" w14:textId="3C82DDF7" w:rsidR="00CD3610" w:rsidRDefault="00EC6C1C" w:rsidP="00CD3610">
      <w:pPr>
        <w:pStyle w:val="CoverText-Address"/>
        <w:ind w:left="5400"/>
      </w:pPr>
      <w:r>
        <w:t>4160 Patterson Avenue</w:t>
      </w:r>
      <w:r w:rsidR="00CD3610">
        <w:t xml:space="preserve"> </w:t>
      </w:r>
    </w:p>
    <w:p w14:paraId="4BF47B46" w14:textId="654FC836" w:rsidR="00CD3610" w:rsidRDefault="00EC6C1C" w:rsidP="00CD3610">
      <w:pPr>
        <w:pStyle w:val="CoverText-Address"/>
        <w:ind w:left="5400"/>
      </w:pPr>
      <w:r>
        <w:t>Baltimore, MD 21215</w:t>
      </w:r>
    </w:p>
    <w:p w14:paraId="512E0302" w14:textId="77777777" w:rsidR="00CD3610" w:rsidRPr="001E2CF1" w:rsidRDefault="00CD3610" w:rsidP="00CD3610">
      <w:pPr>
        <w:pStyle w:val="CoverText-Address"/>
        <w:ind w:left="5400"/>
      </w:pPr>
    </w:p>
    <w:p w14:paraId="6D363745" w14:textId="77777777" w:rsidR="00CD3610" w:rsidRPr="001E2CF1" w:rsidRDefault="00CD3610" w:rsidP="00CD3610">
      <w:pPr>
        <w:pStyle w:val="CoverText-Address"/>
        <w:ind w:left="5400"/>
      </w:pPr>
    </w:p>
    <w:p w14:paraId="53F34036" w14:textId="77777777" w:rsidR="00CD3610" w:rsidRPr="001E2CF1" w:rsidRDefault="00CD3610" w:rsidP="00CD3610">
      <w:pPr>
        <w:pStyle w:val="CoverText11pt"/>
        <w:ind w:left="5400"/>
      </w:pPr>
      <w:r w:rsidRPr="001E2CF1">
        <w:t>Submitted by:</w:t>
      </w:r>
    </w:p>
    <w:p w14:paraId="35F3320E" w14:textId="77777777" w:rsidR="00CD3610" w:rsidRDefault="00CD3610" w:rsidP="00CD3610">
      <w:pPr>
        <w:pStyle w:val="CoverText-Address"/>
        <w:ind w:left="5400"/>
        <w:rPr>
          <w:b/>
          <w:color w:val="DA291C"/>
        </w:rPr>
      </w:pPr>
      <w:r>
        <w:rPr>
          <w:b/>
          <w:color w:val="DA291C"/>
        </w:rPr>
        <w:t>Abt Associates</w:t>
      </w:r>
    </w:p>
    <w:p w14:paraId="4DD42624" w14:textId="4A3105D7" w:rsidR="00CD3610" w:rsidRPr="001E2CF1" w:rsidRDefault="00CD3610" w:rsidP="00CD3610">
      <w:pPr>
        <w:pStyle w:val="CoverText-Address"/>
        <w:ind w:left="5400"/>
      </w:pPr>
      <w:r>
        <w:t>6130 Executive Blvd</w:t>
      </w:r>
      <w:r w:rsidR="00EC6C1C">
        <w:t>.</w:t>
      </w:r>
      <w:r w:rsidRPr="001E2CF1">
        <w:br/>
      </w:r>
      <w:r>
        <w:t>Rockville, MD 20852</w:t>
      </w:r>
    </w:p>
    <w:p w14:paraId="5EC811DC" w14:textId="77777777" w:rsidR="00CD3610" w:rsidRPr="001E2CF1" w:rsidRDefault="00CD3610" w:rsidP="00CD3610">
      <w:pPr>
        <w:pStyle w:val="CoverText-Address"/>
        <w:ind w:left="5400"/>
      </w:pPr>
    </w:p>
    <w:p w14:paraId="3C621C82" w14:textId="77777777" w:rsidR="00CD3610" w:rsidRPr="001E2CF1" w:rsidRDefault="00CD3610" w:rsidP="00CD3610">
      <w:pPr>
        <w:pStyle w:val="CoverText-Address"/>
        <w:ind w:left="5400"/>
      </w:pPr>
    </w:p>
    <w:p w14:paraId="1AEC7D2C" w14:textId="77777777" w:rsidR="00CD3610" w:rsidRPr="001E2CF1" w:rsidRDefault="00CD3610" w:rsidP="00CD3610">
      <w:pPr>
        <w:pStyle w:val="CoverText-Address"/>
        <w:ind w:left="5400"/>
        <w:rPr>
          <w:b/>
        </w:rPr>
      </w:pPr>
      <w:r w:rsidRPr="001E2CF1">
        <w:rPr>
          <w:b/>
        </w:rPr>
        <w:t>In Partnership with:</w:t>
      </w:r>
    </w:p>
    <w:p w14:paraId="2323BE77" w14:textId="45230188" w:rsidR="00CD3610" w:rsidRDefault="00901BB6" w:rsidP="00CD3610">
      <w:pPr>
        <w:pStyle w:val="CoverText-Address"/>
        <w:ind w:left="5400"/>
      </w:pPr>
      <w:bookmarkStart w:id="0" w:name="OLE_LINK1"/>
      <w:bookmarkStart w:id="1" w:name="OLE_LINK5"/>
      <w:r>
        <w:t>Milliman</w:t>
      </w:r>
    </w:p>
    <w:p w14:paraId="36CBD7CF" w14:textId="416154CC" w:rsidR="00901BB6" w:rsidRDefault="00901BB6" w:rsidP="00CD3610">
      <w:pPr>
        <w:pStyle w:val="CoverText-Address"/>
        <w:ind w:left="5400"/>
      </w:pPr>
      <w:r>
        <w:t>Optimal Solutions Group</w:t>
      </w:r>
    </w:p>
    <w:p w14:paraId="719377A1" w14:textId="4DFEF2F2" w:rsidR="00901BB6" w:rsidRPr="001E2CF1" w:rsidRDefault="00901BB6" w:rsidP="00CD3610">
      <w:pPr>
        <w:pStyle w:val="CoverText-Address"/>
        <w:ind w:left="5400"/>
      </w:pPr>
      <w:r>
        <w:t>SAG Corporation</w:t>
      </w:r>
    </w:p>
    <w:bookmarkEnd w:id="0"/>
    <w:bookmarkEnd w:id="1"/>
    <w:p w14:paraId="2D4EA543" w14:textId="77777777" w:rsidR="00CD3610" w:rsidRDefault="00CD3610" w:rsidP="00CD3610">
      <w:pPr>
        <w:pStyle w:val="CoverText-Address"/>
        <w:ind w:left="5400"/>
        <w:rPr>
          <w:b/>
        </w:rPr>
      </w:pPr>
    </w:p>
    <w:p w14:paraId="3D26C080" w14:textId="2F84794F" w:rsidR="00CD3610" w:rsidRPr="00DA62E0" w:rsidRDefault="00CD3610" w:rsidP="00CD3610">
      <w:pPr>
        <w:pStyle w:val="CoverTextGreyBold"/>
        <w:ind w:left="5400"/>
        <w:rPr>
          <w:b w:val="0"/>
        </w:rPr>
      </w:pPr>
      <w:r w:rsidRPr="00DA62E0">
        <w:rPr>
          <w:b w:val="0"/>
        </w:rPr>
        <w:t xml:space="preserve">Contract # </w:t>
      </w:r>
      <w:r w:rsidR="00EC6C1C">
        <w:rPr>
          <w:b w:val="0"/>
        </w:rPr>
        <w:t>HSCRC-</w:t>
      </w:r>
      <w:r w:rsidR="00BD577F">
        <w:rPr>
          <w:b w:val="0"/>
        </w:rPr>
        <w:t>TO-2018-2-0601</w:t>
      </w:r>
    </w:p>
    <w:p w14:paraId="12B3BB14" w14:textId="77777777" w:rsidR="00CD3610" w:rsidRDefault="00CD3610" w:rsidP="00CD3610">
      <w:pPr>
        <w:pStyle w:val="CoverText-Address"/>
      </w:pPr>
    </w:p>
    <w:p w14:paraId="35869762" w14:textId="40C0A1D9" w:rsidR="003453BD" w:rsidRPr="008229DE" w:rsidRDefault="00CD3610" w:rsidP="00CD3610">
      <w:pPr>
        <w:pStyle w:val="CoverText-Address"/>
        <w:ind w:left="0"/>
        <w:jc w:val="left"/>
        <w:rPr>
          <w:i/>
          <w:spacing w:val="20"/>
        </w:rPr>
      </w:pPr>
      <w:r>
        <w:rPr>
          <w:i/>
          <w:spacing w:val="20"/>
        </w:rPr>
        <w:br w:type="page"/>
      </w:r>
      <w:r w:rsidR="008229DE" w:rsidRPr="008229DE">
        <w:rPr>
          <w:i/>
          <w:spacing w:val="20"/>
        </w:rPr>
        <w:lastRenderedPageBreak/>
        <w:t>.</w:t>
      </w:r>
      <w:r w:rsidR="008229DE" w:rsidRPr="008229DE">
        <w:rPr>
          <w:i/>
          <w:spacing w:val="20"/>
        </w:rPr>
        <w:tab/>
      </w:r>
      <w:r w:rsidR="004B2B95">
        <w:rPr>
          <w:i/>
          <w:spacing w:val="20"/>
        </w:rPr>
        <w:t xml:space="preserve">Table of </w:t>
      </w:r>
      <w:r w:rsidR="008229DE" w:rsidRPr="008229DE">
        <w:rPr>
          <w:i/>
          <w:spacing w:val="20"/>
        </w:rPr>
        <w:t>Contents</w:t>
      </w:r>
    </w:p>
    <w:p w14:paraId="370AED98" w14:textId="2115A017" w:rsidR="00FB004C" w:rsidRDefault="0072434E">
      <w:pPr>
        <w:pStyle w:val="TOC1"/>
        <w:rPr>
          <w:rFonts w:asciiTheme="minorHAnsi" w:eastAsiaTheme="minorEastAsia" w:hAnsiTheme="minorHAnsi" w:cstheme="minorBidi"/>
          <w:b w:val="0"/>
        </w:rPr>
      </w:pPr>
      <w:r>
        <w:rPr>
          <w:b w:val="0"/>
        </w:rPr>
        <w:fldChar w:fldCharType="begin"/>
      </w:r>
      <w:r>
        <w:rPr>
          <w:b w:val="0"/>
        </w:rPr>
        <w:instrText xml:space="preserve"> TOC \o "1-3" \h \z \t "Heading 2 No Numbering,2" </w:instrText>
      </w:r>
      <w:r>
        <w:rPr>
          <w:b w:val="0"/>
        </w:rPr>
        <w:fldChar w:fldCharType="separate"/>
      </w:r>
      <w:hyperlink w:anchor="_Toc35363772" w:history="1">
        <w:r w:rsidR="00FB004C" w:rsidRPr="003F33BB">
          <w:rPr>
            <w:rStyle w:val="Hyperlink"/>
          </w:rPr>
          <w:t>A.</w:t>
        </w:r>
        <w:r w:rsidR="00FB004C">
          <w:rPr>
            <w:rFonts w:asciiTheme="minorHAnsi" w:eastAsiaTheme="minorEastAsia" w:hAnsiTheme="minorHAnsi" w:cstheme="minorBidi"/>
            <w:b w:val="0"/>
          </w:rPr>
          <w:tab/>
        </w:r>
        <w:r w:rsidR="00FB004C" w:rsidRPr="003F33BB">
          <w:rPr>
            <w:rStyle w:val="Hyperlink"/>
          </w:rPr>
          <w:t>Introduction and Purpose</w:t>
        </w:r>
        <w:r w:rsidR="00FB004C">
          <w:rPr>
            <w:webHidden/>
          </w:rPr>
          <w:tab/>
        </w:r>
        <w:r w:rsidR="00FB004C">
          <w:rPr>
            <w:webHidden/>
          </w:rPr>
          <w:fldChar w:fldCharType="begin"/>
        </w:r>
        <w:r w:rsidR="00FB004C">
          <w:rPr>
            <w:webHidden/>
          </w:rPr>
          <w:instrText xml:space="preserve"> PAGEREF _Toc35363772 \h </w:instrText>
        </w:r>
        <w:r w:rsidR="00FB004C">
          <w:rPr>
            <w:webHidden/>
          </w:rPr>
        </w:r>
        <w:r w:rsidR="00FB004C">
          <w:rPr>
            <w:webHidden/>
          </w:rPr>
          <w:fldChar w:fldCharType="separate"/>
        </w:r>
        <w:r w:rsidR="00FB004C">
          <w:rPr>
            <w:webHidden/>
          </w:rPr>
          <w:t>3</w:t>
        </w:r>
        <w:r w:rsidR="00FB004C">
          <w:rPr>
            <w:webHidden/>
          </w:rPr>
          <w:fldChar w:fldCharType="end"/>
        </w:r>
      </w:hyperlink>
    </w:p>
    <w:p w14:paraId="3949B736" w14:textId="1C869866" w:rsidR="00FB004C" w:rsidRDefault="00756D0D">
      <w:pPr>
        <w:pStyle w:val="TOC1"/>
        <w:rPr>
          <w:rFonts w:asciiTheme="minorHAnsi" w:eastAsiaTheme="minorEastAsia" w:hAnsiTheme="minorHAnsi" w:cstheme="minorBidi"/>
          <w:b w:val="0"/>
        </w:rPr>
      </w:pPr>
      <w:hyperlink w:anchor="_Toc35363773" w:history="1">
        <w:r w:rsidR="00FB004C" w:rsidRPr="003F33BB">
          <w:rPr>
            <w:rStyle w:val="Hyperlink"/>
          </w:rPr>
          <w:t>B.</w:t>
        </w:r>
        <w:r w:rsidR="00FB004C">
          <w:rPr>
            <w:rFonts w:asciiTheme="minorHAnsi" w:eastAsiaTheme="minorEastAsia" w:hAnsiTheme="minorHAnsi" w:cstheme="minorBidi"/>
            <w:b w:val="0"/>
          </w:rPr>
          <w:tab/>
        </w:r>
        <w:r w:rsidR="00FB004C" w:rsidRPr="003F33BB">
          <w:rPr>
            <w:rStyle w:val="Hyperlink"/>
          </w:rPr>
          <w:t>Data Sources</w:t>
        </w:r>
        <w:r w:rsidR="00FB004C">
          <w:rPr>
            <w:webHidden/>
          </w:rPr>
          <w:tab/>
        </w:r>
        <w:r w:rsidR="00FB004C">
          <w:rPr>
            <w:webHidden/>
          </w:rPr>
          <w:fldChar w:fldCharType="begin"/>
        </w:r>
        <w:r w:rsidR="00FB004C">
          <w:rPr>
            <w:webHidden/>
          </w:rPr>
          <w:instrText xml:space="preserve"> PAGEREF _Toc35363773 \h </w:instrText>
        </w:r>
        <w:r w:rsidR="00FB004C">
          <w:rPr>
            <w:webHidden/>
          </w:rPr>
        </w:r>
        <w:r w:rsidR="00FB004C">
          <w:rPr>
            <w:webHidden/>
          </w:rPr>
          <w:fldChar w:fldCharType="separate"/>
        </w:r>
        <w:r w:rsidR="00FB004C">
          <w:rPr>
            <w:webHidden/>
          </w:rPr>
          <w:t>3</w:t>
        </w:r>
        <w:r w:rsidR="00FB004C">
          <w:rPr>
            <w:webHidden/>
          </w:rPr>
          <w:fldChar w:fldCharType="end"/>
        </w:r>
      </w:hyperlink>
    </w:p>
    <w:p w14:paraId="5C066809" w14:textId="178BB1FD" w:rsidR="00FB004C" w:rsidRDefault="00756D0D">
      <w:pPr>
        <w:pStyle w:val="TOC1"/>
        <w:rPr>
          <w:rFonts w:asciiTheme="minorHAnsi" w:eastAsiaTheme="minorEastAsia" w:hAnsiTheme="minorHAnsi" w:cstheme="minorBidi"/>
          <w:b w:val="0"/>
        </w:rPr>
      </w:pPr>
      <w:hyperlink w:anchor="_Toc35363774" w:history="1">
        <w:r w:rsidR="00FB004C" w:rsidRPr="003F33BB">
          <w:rPr>
            <w:rStyle w:val="Hyperlink"/>
          </w:rPr>
          <w:t>C.</w:t>
        </w:r>
        <w:r w:rsidR="00FB004C">
          <w:rPr>
            <w:rFonts w:asciiTheme="minorHAnsi" w:eastAsiaTheme="minorEastAsia" w:hAnsiTheme="minorHAnsi" w:cstheme="minorBidi"/>
            <w:b w:val="0"/>
          </w:rPr>
          <w:tab/>
        </w:r>
        <w:r w:rsidR="00FB004C" w:rsidRPr="003F33BB">
          <w:rPr>
            <w:rStyle w:val="Hyperlink"/>
          </w:rPr>
          <w:t>Methodological Steps</w:t>
        </w:r>
        <w:r w:rsidR="00FB004C">
          <w:rPr>
            <w:webHidden/>
          </w:rPr>
          <w:tab/>
        </w:r>
        <w:r w:rsidR="00FB004C">
          <w:rPr>
            <w:webHidden/>
          </w:rPr>
          <w:fldChar w:fldCharType="begin"/>
        </w:r>
        <w:r w:rsidR="00FB004C">
          <w:rPr>
            <w:webHidden/>
          </w:rPr>
          <w:instrText xml:space="preserve"> PAGEREF _Toc35363774 \h </w:instrText>
        </w:r>
        <w:r w:rsidR="00FB004C">
          <w:rPr>
            <w:webHidden/>
          </w:rPr>
        </w:r>
        <w:r w:rsidR="00FB004C">
          <w:rPr>
            <w:webHidden/>
          </w:rPr>
          <w:fldChar w:fldCharType="separate"/>
        </w:r>
        <w:r w:rsidR="00FB004C">
          <w:rPr>
            <w:webHidden/>
          </w:rPr>
          <w:t>4</w:t>
        </w:r>
        <w:r w:rsidR="00FB004C">
          <w:rPr>
            <w:webHidden/>
          </w:rPr>
          <w:fldChar w:fldCharType="end"/>
        </w:r>
      </w:hyperlink>
    </w:p>
    <w:p w14:paraId="7CD1FDCD" w14:textId="2A9F1593" w:rsidR="00FB004C" w:rsidRDefault="00756D0D">
      <w:pPr>
        <w:pStyle w:val="TOC2"/>
        <w:rPr>
          <w:rFonts w:asciiTheme="minorHAnsi" w:eastAsiaTheme="minorEastAsia" w:hAnsiTheme="minorHAnsi" w:cstheme="minorBidi"/>
          <w:szCs w:val="24"/>
        </w:rPr>
      </w:pPr>
      <w:hyperlink w:anchor="_Toc35363775" w:history="1">
        <w:r w:rsidR="00FB004C" w:rsidRPr="003F33BB">
          <w:rPr>
            <w:rStyle w:val="Hyperlink"/>
          </w:rPr>
          <w:t>C.1.</w:t>
        </w:r>
        <w:r w:rsidR="00FB004C">
          <w:rPr>
            <w:rFonts w:asciiTheme="minorHAnsi" w:eastAsiaTheme="minorEastAsia" w:hAnsiTheme="minorHAnsi" w:cstheme="minorBidi"/>
            <w:szCs w:val="24"/>
          </w:rPr>
          <w:tab/>
        </w:r>
        <w:r w:rsidR="00FB004C" w:rsidRPr="003F33BB">
          <w:rPr>
            <w:rStyle w:val="Hyperlink"/>
          </w:rPr>
          <w:t>Define Geographies</w:t>
        </w:r>
        <w:r w:rsidR="00FB004C">
          <w:rPr>
            <w:webHidden/>
          </w:rPr>
          <w:tab/>
        </w:r>
        <w:r w:rsidR="00FB004C">
          <w:rPr>
            <w:webHidden/>
          </w:rPr>
          <w:fldChar w:fldCharType="begin"/>
        </w:r>
        <w:r w:rsidR="00FB004C">
          <w:rPr>
            <w:webHidden/>
          </w:rPr>
          <w:instrText xml:space="preserve"> PAGEREF _Toc35363775 \h </w:instrText>
        </w:r>
        <w:r w:rsidR="00FB004C">
          <w:rPr>
            <w:webHidden/>
          </w:rPr>
        </w:r>
        <w:r w:rsidR="00FB004C">
          <w:rPr>
            <w:webHidden/>
          </w:rPr>
          <w:fldChar w:fldCharType="separate"/>
        </w:r>
        <w:r w:rsidR="00FB004C">
          <w:rPr>
            <w:webHidden/>
          </w:rPr>
          <w:t>4</w:t>
        </w:r>
        <w:r w:rsidR="00FB004C">
          <w:rPr>
            <w:webHidden/>
          </w:rPr>
          <w:fldChar w:fldCharType="end"/>
        </w:r>
      </w:hyperlink>
    </w:p>
    <w:p w14:paraId="1F02AE31" w14:textId="413A1B31" w:rsidR="00FB004C" w:rsidRDefault="00756D0D">
      <w:pPr>
        <w:pStyle w:val="TOC2"/>
        <w:rPr>
          <w:rFonts w:asciiTheme="minorHAnsi" w:eastAsiaTheme="minorEastAsia" w:hAnsiTheme="minorHAnsi" w:cstheme="minorBidi"/>
          <w:szCs w:val="24"/>
        </w:rPr>
      </w:pPr>
      <w:hyperlink w:anchor="_Toc35363776" w:history="1">
        <w:r w:rsidR="00FB004C" w:rsidRPr="003F33BB">
          <w:rPr>
            <w:rStyle w:val="Hyperlink"/>
          </w:rPr>
          <w:t>C.2.</w:t>
        </w:r>
        <w:r w:rsidR="00FB004C">
          <w:rPr>
            <w:rFonts w:asciiTheme="minorHAnsi" w:eastAsiaTheme="minorEastAsia" w:hAnsiTheme="minorHAnsi" w:cstheme="minorBidi"/>
            <w:szCs w:val="24"/>
          </w:rPr>
          <w:tab/>
        </w:r>
        <w:r w:rsidR="00FB004C" w:rsidRPr="003F33BB">
          <w:rPr>
            <w:rStyle w:val="Hyperlink"/>
          </w:rPr>
          <w:t>Compile Characteristics for Selecting Benchmarks Communities</w:t>
        </w:r>
        <w:r w:rsidR="00FB004C">
          <w:rPr>
            <w:webHidden/>
          </w:rPr>
          <w:tab/>
        </w:r>
        <w:r w:rsidR="00FB004C">
          <w:rPr>
            <w:webHidden/>
          </w:rPr>
          <w:fldChar w:fldCharType="begin"/>
        </w:r>
        <w:r w:rsidR="00FB004C">
          <w:rPr>
            <w:webHidden/>
          </w:rPr>
          <w:instrText xml:space="preserve"> PAGEREF _Toc35363776 \h </w:instrText>
        </w:r>
        <w:r w:rsidR="00FB004C">
          <w:rPr>
            <w:webHidden/>
          </w:rPr>
        </w:r>
        <w:r w:rsidR="00FB004C">
          <w:rPr>
            <w:webHidden/>
          </w:rPr>
          <w:fldChar w:fldCharType="separate"/>
        </w:r>
        <w:r w:rsidR="00FB004C">
          <w:rPr>
            <w:webHidden/>
          </w:rPr>
          <w:t>6</w:t>
        </w:r>
        <w:r w:rsidR="00FB004C">
          <w:rPr>
            <w:webHidden/>
          </w:rPr>
          <w:fldChar w:fldCharType="end"/>
        </w:r>
      </w:hyperlink>
    </w:p>
    <w:p w14:paraId="44E14612" w14:textId="5529145E" w:rsidR="00FB004C" w:rsidRDefault="00756D0D">
      <w:pPr>
        <w:pStyle w:val="TOC2"/>
        <w:rPr>
          <w:rFonts w:asciiTheme="minorHAnsi" w:eastAsiaTheme="minorEastAsia" w:hAnsiTheme="minorHAnsi" w:cstheme="minorBidi"/>
          <w:szCs w:val="24"/>
        </w:rPr>
      </w:pPr>
      <w:hyperlink w:anchor="_Toc35363777" w:history="1">
        <w:r w:rsidR="00FB004C" w:rsidRPr="003F33BB">
          <w:rPr>
            <w:rStyle w:val="Hyperlink"/>
          </w:rPr>
          <w:t>C.3.</w:t>
        </w:r>
        <w:r w:rsidR="00FB004C">
          <w:rPr>
            <w:rFonts w:asciiTheme="minorHAnsi" w:eastAsiaTheme="minorEastAsia" w:hAnsiTheme="minorHAnsi" w:cstheme="minorBidi"/>
            <w:szCs w:val="24"/>
          </w:rPr>
          <w:tab/>
        </w:r>
        <w:r w:rsidR="00FB004C" w:rsidRPr="003F33BB">
          <w:rPr>
            <w:rStyle w:val="Hyperlink"/>
          </w:rPr>
          <w:t>Select Benchmark Regions</w:t>
        </w:r>
        <w:r w:rsidR="00FB004C">
          <w:rPr>
            <w:webHidden/>
          </w:rPr>
          <w:tab/>
        </w:r>
        <w:r w:rsidR="00FB004C">
          <w:rPr>
            <w:webHidden/>
          </w:rPr>
          <w:fldChar w:fldCharType="begin"/>
        </w:r>
        <w:r w:rsidR="00FB004C">
          <w:rPr>
            <w:webHidden/>
          </w:rPr>
          <w:instrText xml:space="preserve"> PAGEREF _Toc35363777 \h </w:instrText>
        </w:r>
        <w:r w:rsidR="00FB004C">
          <w:rPr>
            <w:webHidden/>
          </w:rPr>
        </w:r>
        <w:r w:rsidR="00FB004C">
          <w:rPr>
            <w:webHidden/>
          </w:rPr>
          <w:fldChar w:fldCharType="separate"/>
        </w:r>
        <w:r w:rsidR="00FB004C">
          <w:rPr>
            <w:webHidden/>
          </w:rPr>
          <w:t>7</w:t>
        </w:r>
        <w:r w:rsidR="00FB004C">
          <w:rPr>
            <w:webHidden/>
          </w:rPr>
          <w:fldChar w:fldCharType="end"/>
        </w:r>
      </w:hyperlink>
    </w:p>
    <w:p w14:paraId="114A0A31" w14:textId="2E44F1F0" w:rsidR="00FB004C" w:rsidRDefault="00756D0D">
      <w:pPr>
        <w:pStyle w:val="TOC2"/>
        <w:rPr>
          <w:rFonts w:asciiTheme="minorHAnsi" w:eastAsiaTheme="minorEastAsia" w:hAnsiTheme="minorHAnsi" w:cstheme="minorBidi"/>
          <w:szCs w:val="24"/>
        </w:rPr>
      </w:pPr>
      <w:hyperlink w:anchor="_Toc35363778" w:history="1">
        <w:r w:rsidR="00FB004C" w:rsidRPr="003F33BB">
          <w:rPr>
            <w:rStyle w:val="Hyperlink"/>
          </w:rPr>
          <w:t>C.4.</w:t>
        </w:r>
        <w:r w:rsidR="00FB004C">
          <w:rPr>
            <w:rFonts w:asciiTheme="minorHAnsi" w:eastAsiaTheme="minorEastAsia" w:hAnsiTheme="minorHAnsi" w:cstheme="minorBidi"/>
            <w:szCs w:val="24"/>
          </w:rPr>
          <w:tab/>
        </w:r>
        <w:r w:rsidR="00FB004C" w:rsidRPr="003F33BB">
          <w:rPr>
            <w:rStyle w:val="Hyperlink"/>
          </w:rPr>
          <w:t>Compute Metrics</w:t>
        </w:r>
        <w:r w:rsidR="00FB004C">
          <w:rPr>
            <w:webHidden/>
          </w:rPr>
          <w:tab/>
        </w:r>
        <w:r w:rsidR="00FB004C">
          <w:rPr>
            <w:webHidden/>
          </w:rPr>
          <w:fldChar w:fldCharType="begin"/>
        </w:r>
        <w:r w:rsidR="00FB004C">
          <w:rPr>
            <w:webHidden/>
          </w:rPr>
          <w:instrText xml:space="preserve"> PAGEREF _Toc35363778 \h </w:instrText>
        </w:r>
        <w:r w:rsidR="00FB004C">
          <w:rPr>
            <w:webHidden/>
          </w:rPr>
        </w:r>
        <w:r w:rsidR="00FB004C">
          <w:rPr>
            <w:webHidden/>
          </w:rPr>
          <w:fldChar w:fldCharType="separate"/>
        </w:r>
        <w:r w:rsidR="00FB004C">
          <w:rPr>
            <w:webHidden/>
          </w:rPr>
          <w:t>8</w:t>
        </w:r>
        <w:r w:rsidR="00FB004C">
          <w:rPr>
            <w:webHidden/>
          </w:rPr>
          <w:fldChar w:fldCharType="end"/>
        </w:r>
      </w:hyperlink>
    </w:p>
    <w:p w14:paraId="6075B19F" w14:textId="337B60CD" w:rsidR="00FB004C" w:rsidRDefault="00756D0D">
      <w:pPr>
        <w:pStyle w:val="TOC2"/>
        <w:rPr>
          <w:rFonts w:asciiTheme="minorHAnsi" w:eastAsiaTheme="minorEastAsia" w:hAnsiTheme="minorHAnsi" w:cstheme="minorBidi"/>
          <w:szCs w:val="24"/>
        </w:rPr>
      </w:pPr>
      <w:hyperlink w:anchor="_Toc35363779" w:history="1">
        <w:r w:rsidR="00FB004C" w:rsidRPr="003F33BB">
          <w:rPr>
            <w:rStyle w:val="Hyperlink"/>
          </w:rPr>
          <w:t>C.5.</w:t>
        </w:r>
        <w:r w:rsidR="00FB004C">
          <w:rPr>
            <w:rFonts w:asciiTheme="minorHAnsi" w:eastAsiaTheme="minorEastAsia" w:hAnsiTheme="minorHAnsi" w:cstheme="minorBidi"/>
            <w:szCs w:val="24"/>
          </w:rPr>
          <w:tab/>
        </w:r>
        <w:r w:rsidR="00FB004C" w:rsidRPr="003F33BB">
          <w:rPr>
            <w:rStyle w:val="Hyperlink"/>
          </w:rPr>
          <w:t>Normalize Metrics</w:t>
        </w:r>
        <w:r w:rsidR="00FB004C">
          <w:rPr>
            <w:webHidden/>
          </w:rPr>
          <w:tab/>
        </w:r>
        <w:r w:rsidR="00FB004C">
          <w:rPr>
            <w:webHidden/>
          </w:rPr>
          <w:fldChar w:fldCharType="begin"/>
        </w:r>
        <w:r w:rsidR="00FB004C">
          <w:rPr>
            <w:webHidden/>
          </w:rPr>
          <w:instrText xml:space="preserve"> PAGEREF _Toc35363779 \h </w:instrText>
        </w:r>
        <w:r w:rsidR="00FB004C">
          <w:rPr>
            <w:webHidden/>
          </w:rPr>
        </w:r>
        <w:r w:rsidR="00FB004C">
          <w:rPr>
            <w:webHidden/>
          </w:rPr>
          <w:fldChar w:fldCharType="separate"/>
        </w:r>
        <w:r w:rsidR="00FB004C">
          <w:rPr>
            <w:webHidden/>
          </w:rPr>
          <w:t>10</w:t>
        </w:r>
        <w:r w:rsidR="00FB004C">
          <w:rPr>
            <w:webHidden/>
          </w:rPr>
          <w:fldChar w:fldCharType="end"/>
        </w:r>
      </w:hyperlink>
    </w:p>
    <w:p w14:paraId="1E2C06F7" w14:textId="08952FD0" w:rsidR="00FB004C" w:rsidRDefault="00756D0D">
      <w:pPr>
        <w:pStyle w:val="TOC2"/>
        <w:rPr>
          <w:rFonts w:asciiTheme="minorHAnsi" w:eastAsiaTheme="minorEastAsia" w:hAnsiTheme="minorHAnsi" w:cstheme="minorBidi"/>
          <w:szCs w:val="24"/>
        </w:rPr>
      </w:pPr>
      <w:hyperlink w:anchor="_Toc35363780" w:history="1">
        <w:r w:rsidR="00FB004C" w:rsidRPr="003F33BB">
          <w:rPr>
            <w:rStyle w:val="Hyperlink"/>
          </w:rPr>
          <w:t>C.6.</w:t>
        </w:r>
        <w:r w:rsidR="00FB004C">
          <w:rPr>
            <w:rFonts w:asciiTheme="minorHAnsi" w:eastAsiaTheme="minorEastAsia" w:hAnsiTheme="minorHAnsi" w:cstheme="minorBidi"/>
            <w:szCs w:val="24"/>
          </w:rPr>
          <w:tab/>
        </w:r>
        <w:r w:rsidR="00FB004C" w:rsidRPr="003F33BB">
          <w:rPr>
            <w:rStyle w:val="Hyperlink"/>
          </w:rPr>
          <w:t>Conduct Comparisons</w:t>
        </w:r>
        <w:r w:rsidR="00FB004C">
          <w:rPr>
            <w:webHidden/>
          </w:rPr>
          <w:tab/>
        </w:r>
        <w:r w:rsidR="00FB004C">
          <w:rPr>
            <w:webHidden/>
          </w:rPr>
          <w:fldChar w:fldCharType="begin"/>
        </w:r>
        <w:r w:rsidR="00FB004C">
          <w:rPr>
            <w:webHidden/>
          </w:rPr>
          <w:instrText xml:space="preserve"> PAGEREF _Toc35363780 \h </w:instrText>
        </w:r>
        <w:r w:rsidR="00FB004C">
          <w:rPr>
            <w:webHidden/>
          </w:rPr>
        </w:r>
        <w:r w:rsidR="00FB004C">
          <w:rPr>
            <w:webHidden/>
          </w:rPr>
          <w:fldChar w:fldCharType="separate"/>
        </w:r>
        <w:r w:rsidR="00FB004C">
          <w:rPr>
            <w:webHidden/>
          </w:rPr>
          <w:t>11</w:t>
        </w:r>
        <w:r w:rsidR="00FB004C">
          <w:rPr>
            <w:webHidden/>
          </w:rPr>
          <w:fldChar w:fldCharType="end"/>
        </w:r>
      </w:hyperlink>
    </w:p>
    <w:p w14:paraId="1A140248" w14:textId="0B5B6C81" w:rsidR="00FB004C" w:rsidRDefault="00756D0D">
      <w:pPr>
        <w:pStyle w:val="TOC1"/>
        <w:rPr>
          <w:rFonts w:asciiTheme="minorHAnsi" w:eastAsiaTheme="minorEastAsia" w:hAnsiTheme="minorHAnsi" w:cstheme="minorBidi"/>
          <w:b w:val="0"/>
        </w:rPr>
      </w:pPr>
      <w:hyperlink w:anchor="_Toc35363781" w:history="1">
        <w:r w:rsidR="00FB004C" w:rsidRPr="003F33BB">
          <w:rPr>
            <w:rStyle w:val="Hyperlink"/>
          </w:rPr>
          <w:t>D.</w:t>
        </w:r>
        <w:r w:rsidR="00FB004C">
          <w:rPr>
            <w:rFonts w:asciiTheme="minorHAnsi" w:eastAsiaTheme="minorEastAsia" w:hAnsiTheme="minorHAnsi" w:cstheme="minorBidi"/>
            <w:b w:val="0"/>
          </w:rPr>
          <w:tab/>
        </w:r>
        <w:r w:rsidR="00FB004C" w:rsidRPr="003F33BB">
          <w:rPr>
            <w:rStyle w:val="Hyperlink"/>
          </w:rPr>
          <w:t>Output File</w:t>
        </w:r>
        <w:r w:rsidR="00FB004C">
          <w:rPr>
            <w:webHidden/>
          </w:rPr>
          <w:tab/>
        </w:r>
        <w:r w:rsidR="00FB004C">
          <w:rPr>
            <w:webHidden/>
          </w:rPr>
          <w:fldChar w:fldCharType="begin"/>
        </w:r>
        <w:r w:rsidR="00FB004C">
          <w:rPr>
            <w:webHidden/>
          </w:rPr>
          <w:instrText xml:space="preserve"> PAGEREF _Toc35363781 \h </w:instrText>
        </w:r>
        <w:r w:rsidR="00FB004C">
          <w:rPr>
            <w:webHidden/>
          </w:rPr>
        </w:r>
        <w:r w:rsidR="00FB004C">
          <w:rPr>
            <w:webHidden/>
          </w:rPr>
          <w:fldChar w:fldCharType="separate"/>
        </w:r>
        <w:r w:rsidR="00FB004C">
          <w:rPr>
            <w:webHidden/>
          </w:rPr>
          <w:t>11</w:t>
        </w:r>
        <w:r w:rsidR="00FB004C">
          <w:rPr>
            <w:webHidden/>
          </w:rPr>
          <w:fldChar w:fldCharType="end"/>
        </w:r>
      </w:hyperlink>
    </w:p>
    <w:p w14:paraId="0CA841C0" w14:textId="2CD9469B" w:rsidR="00FB004C" w:rsidRDefault="00756D0D">
      <w:pPr>
        <w:pStyle w:val="TOC1"/>
        <w:rPr>
          <w:rFonts w:asciiTheme="minorHAnsi" w:eastAsiaTheme="minorEastAsia" w:hAnsiTheme="minorHAnsi" w:cstheme="minorBidi"/>
          <w:b w:val="0"/>
        </w:rPr>
      </w:pPr>
      <w:hyperlink w:anchor="_Toc35363782" w:history="1">
        <w:r w:rsidR="00FB004C" w:rsidRPr="003F33BB">
          <w:rPr>
            <w:rStyle w:val="Hyperlink"/>
          </w:rPr>
          <w:t>E.</w:t>
        </w:r>
        <w:r w:rsidR="00FB004C">
          <w:rPr>
            <w:rFonts w:asciiTheme="minorHAnsi" w:eastAsiaTheme="minorEastAsia" w:hAnsiTheme="minorHAnsi" w:cstheme="minorBidi"/>
            <w:b w:val="0"/>
          </w:rPr>
          <w:tab/>
        </w:r>
        <w:r w:rsidR="00FB004C" w:rsidRPr="003F33BB">
          <w:rPr>
            <w:rStyle w:val="Hyperlink"/>
          </w:rPr>
          <w:t>Data Reliance, Restrictions, Limitations</w:t>
        </w:r>
        <w:r w:rsidR="00FB004C">
          <w:rPr>
            <w:webHidden/>
          </w:rPr>
          <w:tab/>
        </w:r>
        <w:r w:rsidR="00FB004C">
          <w:rPr>
            <w:webHidden/>
          </w:rPr>
          <w:fldChar w:fldCharType="begin"/>
        </w:r>
        <w:r w:rsidR="00FB004C">
          <w:rPr>
            <w:webHidden/>
          </w:rPr>
          <w:instrText xml:space="preserve"> PAGEREF _Toc35363782 \h </w:instrText>
        </w:r>
        <w:r w:rsidR="00FB004C">
          <w:rPr>
            <w:webHidden/>
          </w:rPr>
        </w:r>
        <w:r w:rsidR="00FB004C">
          <w:rPr>
            <w:webHidden/>
          </w:rPr>
          <w:fldChar w:fldCharType="separate"/>
        </w:r>
        <w:r w:rsidR="00FB004C">
          <w:rPr>
            <w:webHidden/>
          </w:rPr>
          <w:t>12</w:t>
        </w:r>
        <w:r w:rsidR="00FB004C">
          <w:rPr>
            <w:webHidden/>
          </w:rPr>
          <w:fldChar w:fldCharType="end"/>
        </w:r>
      </w:hyperlink>
    </w:p>
    <w:p w14:paraId="2DEF2211" w14:textId="37446BCC" w:rsidR="00FB004C" w:rsidRDefault="00756D0D">
      <w:pPr>
        <w:pStyle w:val="TOC1"/>
        <w:rPr>
          <w:rFonts w:asciiTheme="minorHAnsi" w:eastAsiaTheme="minorEastAsia" w:hAnsiTheme="minorHAnsi" w:cstheme="minorBidi"/>
          <w:b w:val="0"/>
        </w:rPr>
      </w:pPr>
      <w:hyperlink w:anchor="_Toc35363783" w:history="1">
        <w:r w:rsidR="00FB004C" w:rsidRPr="003F33BB">
          <w:rPr>
            <w:rStyle w:val="Hyperlink"/>
          </w:rPr>
          <w:t>Appendix A. MD APCD Exclusions and Data Cleaning</w:t>
        </w:r>
        <w:r w:rsidR="00FB004C">
          <w:rPr>
            <w:webHidden/>
          </w:rPr>
          <w:tab/>
        </w:r>
        <w:r w:rsidR="00FB004C">
          <w:rPr>
            <w:webHidden/>
          </w:rPr>
          <w:fldChar w:fldCharType="begin"/>
        </w:r>
        <w:r w:rsidR="00FB004C">
          <w:rPr>
            <w:webHidden/>
          </w:rPr>
          <w:instrText xml:space="preserve"> PAGEREF _Toc35363783 \h </w:instrText>
        </w:r>
        <w:r w:rsidR="00FB004C">
          <w:rPr>
            <w:webHidden/>
          </w:rPr>
        </w:r>
        <w:r w:rsidR="00FB004C">
          <w:rPr>
            <w:webHidden/>
          </w:rPr>
          <w:fldChar w:fldCharType="separate"/>
        </w:r>
        <w:r w:rsidR="00FB004C">
          <w:rPr>
            <w:webHidden/>
          </w:rPr>
          <w:t>13</w:t>
        </w:r>
        <w:r w:rsidR="00FB004C">
          <w:rPr>
            <w:webHidden/>
          </w:rPr>
          <w:fldChar w:fldCharType="end"/>
        </w:r>
      </w:hyperlink>
    </w:p>
    <w:p w14:paraId="49FAAC4F" w14:textId="6D074F8E" w:rsidR="00FB004C" w:rsidRDefault="00756D0D">
      <w:pPr>
        <w:pStyle w:val="TOC1"/>
        <w:rPr>
          <w:rFonts w:asciiTheme="minorHAnsi" w:eastAsiaTheme="minorEastAsia" w:hAnsiTheme="minorHAnsi" w:cstheme="minorBidi"/>
          <w:b w:val="0"/>
        </w:rPr>
      </w:pPr>
      <w:hyperlink w:anchor="_Toc35363784" w:history="1">
        <w:r w:rsidR="00FB004C" w:rsidRPr="003F33BB">
          <w:rPr>
            <w:rStyle w:val="Hyperlink"/>
          </w:rPr>
          <w:t>Appendix B. Benefit Level Construction</w:t>
        </w:r>
        <w:r w:rsidR="00FB004C">
          <w:rPr>
            <w:webHidden/>
          </w:rPr>
          <w:tab/>
        </w:r>
        <w:r w:rsidR="00FB004C">
          <w:rPr>
            <w:webHidden/>
          </w:rPr>
          <w:fldChar w:fldCharType="begin"/>
        </w:r>
        <w:r w:rsidR="00FB004C">
          <w:rPr>
            <w:webHidden/>
          </w:rPr>
          <w:instrText xml:space="preserve"> PAGEREF _Toc35363784 \h </w:instrText>
        </w:r>
        <w:r w:rsidR="00FB004C">
          <w:rPr>
            <w:webHidden/>
          </w:rPr>
        </w:r>
        <w:r w:rsidR="00FB004C">
          <w:rPr>
            <w:webHidden/>
          </w:rPr>
          <w:fldChar w:fldCharType="separate"/>
        </w:r>
        <w:r w:rsidR="00FB004C">
          <w:rPr>
            <w:webHidden/>
          </w:rPr>
          <w:t>15</w:t>
        </w:r>
        <w:r w:rsidR="00FB004C">
          <w:rPr>
            <w:webHidden/>
          </w:rPr>
          <w:fldChar w:fldCharType="end"/>
        </w:r>
      </w:hyperlink>
    </w:p>
    <w:p w14:paraId="15ADBB4B" w14:textId="30B12D24" w:rsidR="004D359E" w:rsidRDefault="0072434E" w:rsidP="00D86345">
      <w:pPr>
        <w:pStyle w:val="Call-OutBoxBullet"/>
        <w:numPr>
          <w:ilvl w:val="0"/>
          <w:numId w:val="0"/>
        </w:numPr>
        <w:ind w:left="360"/>
        <w:rPr>
          <w:noProof/>
          <w:u w:color="7F7F7F" w:themeColor="text1" w:themeTint="80"/>
        </w:rPr>
        <w:sectPr w:rsidR="004D359E" w:rsidSect="00C113A8">
          <w:footerReference w:type="default" r:id="rId9"/>
          <w:pgSz w:w="12240" w:h="15840" w:code="1"/>
          <w:pgMar w:top="1440" w:right="1440" w:bottom="1440" w:left="1440" w:header="432" w:footer="720" w:gutter="0"/>
          <w:pgNumType w:start="1"/>
          <w:cols w:space="720"/>
          <w:docGrid w:linePitch="299"/>
        </w:sectPr>
      </w:pPr>
      <w:r>
        <w:rPr>
          <w:noProof/>
          <w:u w:color="7F7F7F" w:themeColor="text1" w:themeTint="80"/>
        </w:rPr>
        <w:fldChar w:fldCharType="end"/>
      </w:r>
    </w:p>
    <w:p w14:paraId="136CCF77" w14:textId="63CE27AB" w:rsidR="002849F4" w:rsidRPr="002849F4" w:rsidRDefault="00901BB6" w:rsidP="00901BB6">
      <w:pPr>
        <w:pStyle w:val="Heading1"/>
      </w:pPr>
      <w:bookmarkStart w:id="2" w:name="_Toc35363772"/>
      <w:r>
        <w:lastRenderedPageBreak/>
        <w:t>Introduction and Purpose</w:t>
      </w:r>
      <w:bookmarkEnd w:id="2"/>
    </w:p>
    <w:p w14:paraId="63EADCC4" w14:textId="44F80624" w:rsidR="00B95777" w:rsidRDefault="00B95777" w:rsidP="00B95777">
      <w:pPr>
        <w:pStyle w:val="BodyText"/>
        <w:rPr>
          <w:lang w:val="en-US"/>
        </w:rPr>
      </w:pPr>
      <w:r>
        <w:t>The Maryland Health Services Cost Review Commission (HSCRC) contracted with researchers and actuaries from Abt Associates and its partners, Milliman, Optimal Solutions Group, and SAG Corporation to b</w:t>
      </w:r>
      <w:r w:rsidRPr="00C470CA">
        <w:t xml:space="preserve">enchmark Maryland </w:t>
      </w:r>
      <w:r>
        <w:t xml:space="preserve">(MD) </w:t>
      </w:r>
      <w:r w:rsidRPr="00C470CA">
        <w:t>communities to similar communities across the country to compare cost, utilization</w:t>
      </w:r>
      <w:r>
        <w:t>, and quality</w:t>
      </w:r>
      <w:r w:rsidRPr="00C470CA">
        <w:t xml:space="preserve"> metrics for individuals covered by employer-sponsored</w:t>
      </w:r>
      <w:r>
        <w:t xml:space="preserve"> </w:t>
      </w:r>
      <w:r w:rsidRPr="00C470CA">
        <w:t>health insurance.</w:t>
      </w:r>
      <w:r>
        <w:t xml:space="preserve"> </w:t>
      </w:r>
      <w:r w:rsidRPr="00C470CA">
        <w:rPr>
          <w:lang w:val="en-US"/>
        </w:rPr>
        <w:t xml:space="preserve">Used in conjunction with a similar effort for the Medicare </w:t>
      </w:r>
      <w:r>
        <w:rPr>
          <w:lang w:val="en-US"/>
        </w:rPr>
        <w:t>fee-for-service (FFS)</w:t>
      </w:r>
      <w:r w:rsidRPr="00C470CA">
        <w:rPr>
          <w:lang w:val="en-US"/>
        </w:rPr>
        <w:t xml:space="preserve"> Maryland population, </w:t>
      </w:r>
      <w:r>
        <w:rPr>
          <w:lang w:val="en-US"/>
        </w:rPr>
        <w:t xml:space="preserve">this information </w:t>
      </w:r>
      <w:r w:rsidRPr="00C470CA">
        <w:rPr>
          <w:lang w:val="en-US"/>
        </w:rPr>
        <w:t>will</w:t>
      </w:r>
      <w:r>
        <w:rPr>
          <w:lang w:val="en-US"/>
        </w:rPr>
        <w:t xml:space="preserve"> support</w:t>
      </w:r>
      <w:r w:rsidRPr="00C470CA">
        <w:rPr>
          <w:lang w:val="en-US"/>
        </w:rPr>
        <w:t xml:space="preserve"> identify</w:t>
      </w:r>
      <w:r>
        <w:rPr>
          <w:lang w:val="en-US"/>
        </w:rPr>
        <w:t>ing</w:t>
      </w:r>
      <w:r w:rsidRPr="00C470CA">
        <w:rPr>
          <w:lang w:val="en-US"/>
        </w:rPr>
        <w:t xml:space="preserve"> areas to target improvement efforts, implement</w:t>
      </w:r>
      <w:r>
        <w:rPr>
          <w:lang w:val="en-US"/>
        </w:rPr>
        <w:t>ing</w:t>
      </w:r>
      <w:r w:rsidRPr="00C470CA">
        <w:rPr>
          <w:lang w:val="en-US"/>
        </w:rPr>
        <w:t xml:space="preserve"> incentives, as well as track</w:t>
      </w:r>
      <w:r>
        <w:rPr>
          <w:lang w:val="en-US"/>
        </w:rPr>
        <w:t>ing</w:t>
      </w:r>
      <w:r w:rsidRPr="00C470CA">
        <w:rPr>
          <w:lang w:val="en-US"/>
        </w:rPr>
        <w:t xml:space="preserve"> performance over time.</w:t>
      </w:r>
    </w:p>
    <w:p w14:paraId="40E66727" w14:textId="6FD7672D" w:rsidR="00CC006F" w:rsidRDefault="00897C95" w:rsidP="00CC006F">
      <w:pPr>
        <w:spacing w:after="0"/>
        <w:rPr>
          <w:sz w:val="24"/>
        </w:rPr>
      </w:pPr>
      <w:r>
        <w:t>This report documents the data source</w:t>
      </w:r>
      <w:r w:rsidR="00063F21">
        <w:t>s</w:t>
      </w:r>
      <w:r>
        <w:t xml:space="preserve"> and methodology used to construct MD regions, identify communities for benchmarking, and calculate and compare metrics. </w:t>
      </w:r>
      <w:r w:rsidR="001F3D44">
        <w:t>Please also refer to the “</w:t>
      </w:r>
      <w:r w:rsidR="001F3D44" w:rsidRPr="001F3D44">
        <w:t>CY 201</w:t>
      </w:r>
      <w:r w:rsidR="00CC006F">
        <w:t>8</w:t>
      </w:r>
      <w:r w:rsidR="001F3D44" w:rsidRPr="001F3D44">
        <w:t xml:space="preserve"> Milliman Benchmark</w:t>
      </w:r>
      <w:r w:rsidR="001F3D44">
        <w:t xml:space="preserve"> </w:t>
      </w:r>
      <w:r w:rsidR="001F3D44" w:rsidRPr="001F3D44">
        <w:t>and Maryland All-Payer Claims</w:t>
      </w:r>
      <w:r w:rsidR="001F3D44">
        <w:t xml:space="preserve"> </w:t>
      </w:r>
      <w:r w:rsidR="001F3D44" w:rsidRPr="001F3D44">
        <w:t>Database Cost and Utilization</w:t>
      </w:r>
      <w:r w:rsidR="001F3D44">
        <w:t xml:space="preserve"> </w:t>
      </w:r>
      <w:r w:rsidR="001F3D44" w:rsidRPr="001F3D44">
        <w:t>Exhibits</w:t>
      </w:r>
      <w:r w:rsidR="001F3D44">
        <w:t xml:space="preserve"> Report” available at</w:t>
      </w:r>
      <w:r w:rsidR="00CC006F">
        <w:t xml:space="preserve"> </w:t>
      </w:r>
      <w:hyperlink r:id="rId10" w:tooltip="https://www.milliman.com/2018-Benchmark-APCD-Methodology" w:history="1">
        <w:r w:rsidR="00CC006F" w:rsidRPr="009E3DA1">
          <w:rPr>
            <w:rStyle w:val="Hyperlink"/>
            <w:color w:val="954F72"/>
          </w:rPr>
          <w:t>https://www.milliman.com/2018-Benchmark-APCD-Methodology</w:t>
        </w:r>
      </w:hyperlink>
      <w:r w:rsidR="00CC006F" w:rsidRPr="009E3DA1">
        <w:t>.</w:t>
      </w:r>
    </w:p>
    <w:p w14:paraId="7F92451D" w14:textId="26BEB436" w:rsidR="001F3D44" w:rsidRDefault="001F3D44" w:rsidP="001F3D44">
      <w:pPr>
        <w:pStyle w:val="BodyText"/>
        <w:rPr>
          <w:lang w:val="en-US"/>
        </w:rPr>
      </w:pPr>
    </w:p>
    <w:p w14:paraId="767F2B52" w14:textId="6EA4077F" w:rsidR="002849F4" w:rsidRDefault="00B43701" w:rsidP="00901BB6">
      <w:pPr>
        <w:pStyle w:val="Heading1"/>
      </w:pPr>
      <w:bookmarkStart w:id="3" w:name="_Toc35363773"/>
      <w:r>
        <w:t>Data Sources</w:t>
      </w:r>
      <w:bookmarkEnd w:id="3"/>
    </w:p>
    <w:p w14:paraId="375DB5C6" w14:textId="7ED0B668" w:rsidR="00897C95" w:rsidRPr="00897C95" w:rsidRDefault="002C3B86" w:rsidP="00C9189A">
      <w:pPr>
        <w:pStyle w:val="BodyText"/>
        <w:rPr>
          <w:iCs/>
        </w:rPr>
      </w:pPr>
      <w:r>
        <w:rPr>
          <w:iCs/>
        </w:rPr>
        <w:t>The benchmarking methodology draws from the following data</w:t>
      </w:r>
      <w:r w:rsidR="00FA5944">
        <w:rPr>
          <w:iCs/>
        </w:rPr>
        <w:t xml:space="preserve"> </w:t>
      </w:r>
      <w:r>
        <w:rPr>
          <w:iCs/>
        </w:rPr>
        <w:t>sources</w:t>
      </w:r>
      <w:r w:rsidR="008820C5">
        <w:rPr>
          <w:iCs/>
        </w:rPr>
        <w:t xml:space="preserve">: </w:t>
      </w:r>
    </w:p>
    <w:p w14:paraId="555FC171" w14:textId="4088D916" w:rsidR="00392C70" w:rsidRDefault="00FD7E3A" w:rsidP="00C9189A">
      <w:pPr>
        <w:pStyle w:val="BodyText"/>
      </w:pPr>
      <w:r w:rsidRPr="00FD7E3A">
        <w:rPr>
          <w:i/>
        </w:rPr>
        <w:t>Milliman’s Consolidated Health</w:t>
      </w:r>
      <w:r w:rsidR="00FF762D">
        <w:rPr>
          <w:i/>
        </w:rPr>
        <w:t xml:space="preserve"> Cost Guidelines (HCGs) Sources</w:t>
      </w:r>
      <w:r w:rsidRPr="00FD7E3A">
        <w:rPr>
          <w:i/>
        </w:rPr>
        <w:t xml:space="preserve"> Database</w:t>
      </w:r>
      <w:r w:rsidR="003C0A48">
        <w:rPr>
          <w:i/>
        </w:rPr>
        <w:t xml:space="preserve"> (CHSD)</w:t>
      </w:r>
      <w:r>
        <w:rPr>
          <w:i/>
        </w:rPr>
        <w:t xml:space="preserve">: </w:t>
      </w:r>
      <w:r w:rsidR="009077DA">
        <w:t>Milliman maintains the CHSD, a comprehensive, longitudinal, health care experience data containing detailed enrollment, medical claims, and pharmacy claims data. Milliman works with its industry partners – which include IBM MarketScan®, regional Blue Cross Blue Shield plans, and national carriers – on an ongoing basis to acquire, validate, and synthesize detailed health care data. In 201</w:t>
      </w:r>
      <w:r w:rsidR="00CC006F">
        <w:t>8</w:t>
      </w:r>
      <w:r w:rsidR="009077DA">
        <w:t xml:space="preserve">, data for </w:t>
      </w:r>
      <w:r w:rsidR="009077DA" w:rsidRPr="00392C70">
        <w:t>approximately 9</w:t>
      </w:r>
      <w:r w:rsidR="00CC006F">
        <w:t>8</w:t>
      </w:r>
      <w:r w:rsidR="009077DA" w:rsidRPr="00392C70">
        <w:t xml:space="preserve"> million commercial insured individuals </w:t>
      </w:r>
      <w:r w:rsidR="009077DA">
        <w:t>were</w:t>
      </w:r>
      <w:r w:rsidR="009077DA" w:rsidRPr="00392C70">
        <w:t xml:space="preserve"> available nationwide. </w:t>
      </w:r>
      <w:r w:rsidR="009077DA">
        <w:t xml:space="preserve">For the analyses presented here, </w:t>
      </w:r>
      <w:r w:rsidR="006E12A1">
        <w:t>t</w:t>
      </w:r>
      <w:r w:rsidR="006E12A1">
        <w:rPr>
          <w:lang w:val="en-US"/>
        </w:rPr>
        <w:t>he</w:t>
      </w:r>
      <w:r w:rsidR="009077DA" w:rsidRPr="00F77B3E">
        <w:rPr>
          <w:lang w:val="en-US"/>
        </w:rPr>
        <w:t xml:space="preserve"> benchmark data </w:t>
      </w:r>
      <w:r w:rsidR="009077DA">
        <w:rPr>
          <w:lang w:val="en-US"/>
        </w:rPr>
        <w:t>was</w:t>
      </w:r>
      <w:r w:rsidR="009077DA" w:rsidRPr="00F77B3E">
        <w:rPr>
          <w:lang w:val="en-US"/>
        </w:rPr>
        <w:t xml:space="preserve"> limited to commercially insured individuals under age 65.</w:t>
      </w:r>
      <w:r w:rsidR="009077DA">
        <w:rPr>
          <w:lang w:val="en-US"/>
        </w:rPr>
        <w:t xml:space="preserve"> </w:t>
      </w:r>
      <w:r w:rsidR="009077DA">
        <w:t>CHSD geographic identifiers were available at the Metropolitan Statistical Area (MSA) and state level. This was done since Medicare-covered retirees enrolled in employer-sponsored insurance could distort the per member costs if Medicare pays for the claim cost and the employer plan pays only for the remaining non-covered costs (such as drugs, deductibles and co-insurances).</w:t>
      </w:r>
      <w:r w:rsidR="00B72DA9">
        <w:t xml:space="preserve"> </w:t>
      </w:r>
      <w:r w:rsidR="009077DA">
        <w:t>These data were used to identify national benchmarks and compute benchmark metrics for individuals residing in the MSAs.</w:t>
      </w:r>
    </w:p>
    <w:p w14:paraId="5E5BAA41" w14:textId="4C213346" w:rsidR="007460F3" w:rsidRDefault="007460F3" w:rsidP="007460F3">
      <w:pPr>
        <w:pStyle w:val="BodyText"/>
      </w:pPr>
      <w:r w:rsidRPr="00E2179A">
        <w:rPr>
          <w:i/>
        </w:rPr>
        <w:t>Maryland All Payer Claims Database (APCD)</w:t>
      </w:r>
      <w:r>
        <w:t>:</w:t>
      </w:r>
      <w:r w:rsidR="00130308">
        <w:t xml:space="preserve"> The </w:t>
      </w:r>
      <w:r>
        <w:t xml:space="preserve">HSCRC </w:t>
      </w:r>
      <w:r w:rsidR="00130308">
        <w:t xml:space="preserve">provided </w:t>
      </w:r>
      <w:r>
        <w:t>Maryland APCD for 201</w:t>
      </w:r>
      <w:r w:rsidR="00CC006F">
        <w:t>8</w:t>
      </w:r>
      <w:r>
        <w:t xml:space="preserve">. The data contain enrollment and claims data provided by insurers for MD residents and was used to calculate MD-specific metrics. </w:t>
      </w:r>
      <w:r w:rsidR="009077DA">
        <w:t xml:space="preserve">In alignment with the benchmark data obtained from the CHSD, the APCD data was limited to commercial </w:t>
      </w:r>
      <w:r w:rsidR="00670547">
        <w:t xml:space="preserve">and individual </w:t>
      </w:r>
      <w:r w:rsidR="009077DA">
        <w:t xml:space="preserve">members under age 65. </w:t>
      </w:r>
      <w:r>
        <w:t xml:space="preserve">Other exclusions and cleaning steps are described in </w:t>
      </w:r>
      <w:r w:rsidRPr="00597D78">
        <w:rPr>
          <w:b/>
          <w:bCs/>
        </w:rPr>
        <w:t>Appendix A</w:t>
      </w:r>
      <w:r>
        <w:t xml:space="preserve">. </w:t>
      </w:r>
      <w:r w:rsidR="009077DA">
        <w:t xml:space="preserve">We used the APCD data to compute MD metrics at the ZIP-code level and aggregated to higher levels, such as MD county and Primary Service Area Plus (PSAP) hospital areas. </w:t>
      </w:r>
    </w:p>
    <w:p w14:paraId="45596562" w14:textId="05733EC5" w:rsidR="000E14BC" w:rsidRDefault="00C3058E" w:rsidP="003C0A48">
      <w:pPr>
        <w:pStyle w:val="BodyText"/>
      </w:pPr>
      <w:r w:rsidRPr="0022639A">
        <w:rPr>
          <w:i/>
          <w:iCs/>
        </w:rPr>
        <w:t>Primary Service Area P</w:t>
      </w:r>
      <w:r w:rsidR="00AD0CA4" w:rsidRPr="0022639A">
        <w:rPr>
          <w:i/>
          <w:iCs/>
        </w:rPr>
        <w:t>lus</w:t>
      </w:r>
      <w:r w:rsidRPr="0022639A">
        <w:rPr>
          <w:i/>
          <w:iCs/>
        </w:rPr>
        <w:t xml:space="preserve"> (PSAP)</w:t>
      </w:r>
      <w:r w:rsidR="00AD0CA4" w:rsidRPr="0022639A">
        <w:rPr>
          <w:i/>
          <w:iCs/>
        </w:rPr>
        <w:t xml:space="preserve"> mappings</w:t>
      </w:r>
      <w:r w:rsidRPr="0022639A">
        <w:rPr>
          <w:i/>
          <w:iCs/>
        </w:rPr>
        <w:t>:</w:t>
      </w:r>
      <w:r>
        <w:t xml:space="preserve"> </w:t>
      </w:r>
      <w:r w:rsidR="00AD0CA4">
        <w:t>HSCRC provided a file</w:t>
      </w:r>
      <w:r w:rsidR="0022639A">
        <w:t xml:space="preserve"> on November 7, 2019</w:t>
      </w:r>
      <w:r w:rsidR="00AD0CA4">
        <w:t xml:space="preserve"> </w:t>
      </w:r>
      <w:r w:rsidR="00E71E4A">
        <w:t>entitled</w:t>
      </w:r>
      <w:r w:rsidR="00AD0CA4">
        <w:t xml:space="preserve"> “All payer and Medicare PSAP 4.2.2019.xlsx</w:t>
      </w:r>
      <w:r w:rsidR="0022639A">
        <w:t>,</w:t>
      </w:r>
      <w:r w:rsidR="00AD0CA4">
        <w:t>”</w:t>
      </w:r>
      <w:r w:rsidR="0022639A">
        <w:t xml:space="preserve"> </w:t>
      </w:r>
      <w:r w:rsidR="00AD0CA4">
        <w:t xml:space="preserve">which assigned MD ZIP codes to </w:t>
      </w:r>
      <w:r w:rsidR="0022639A">
        <w:t xml:space="preserve">MD hospitals. </w:t>
      </w:r>
      <w:r w:rsidR="0033743F">
        <w:t>If a hospital serve</w:t>
      </w:r>
      <w:r w:rsidR="000E14BC">
        <w:t>d</w:t>
      </w:r>
      <w:r w:rsidR="0033743F">
        <w:t xml:space="preserve"> multiple ZIP</w:t>
      </w:r>
      <w:r w:rsidR="009077DA">
        <w:t>-</w:t>
      </w:r>
      <w:r w:rsidR="0033743F">
        <w:t>code areas, the ZIP</w:t>
      </w:r>
      <w:r w:rsidR="009077DA">
        <w:t>-</w:t>
      </w:r>
      <w:r w:rsidR="0033743F">
        <w:t xml:space="preserve">code areas were allocated based the share of all-payer </w:t>
      </w:r>
      <w:r w:rsidR="0022639A">
        <w:t xml:space="preserve">inpatient and outpatient </w:t>
      </w:r>
      <w:r w:rsidR="0022639A" w:rsidRPr="0022639A">
        <w:t>Equivalent Case-Mix Adjusted Discharges</w:t>
      </w:r>
      <w:r w:rsidR="0022639A">
        <w:t xml:space="preserve"> (ECMADs) from FY 2014 and 2015. </w:t>
      </w:r>
    </w:p>
    <w:p w14:paraId="0F01C79D" w14:textId="467B993F" w:rsidR="00C3058E" w:rsidRDefault="0022639A" w:rsidP="003C0A48">
      <w:pPr>
        <w:pStyle w:val="BodyText"/>
      </w:pPr>
      <w:r w:rsidRPr="0022639A">
        <w:rPr>
          <w:i/>
          <w:iCs/>
        </w:rPr>
        <w:t xml:space="preserve">Teaching costs </w:t>
      </w:r>
      <w:r>
        <w:rPr>
          <w:i/>
          <w:iCs/>
        </w:rPr>
        <w:t>for removal</w:t>
      </w:r>
      <w:r w:rsidRPr="0022639A">
        <w:rPr>
          <w:i/>
          <w:iCs/>
        </w:rPr>
        <w:t>:</w:t>
      </w:r>
      <w:r>
        <w:t xml:space="preserve"> </w:t>
      </w:r>
      <w:r w:rsidR="00E71E4A">
        <w:t xml:space="preserve">HSCRC provided a file on December 11, 2019 entitled </w:t>
      </w:r>
      <w:r>
        <w:t>“Hospital file for commercial removal of GME 12-09.xlsx</w:t>
      </w:r>
      <w:r w:rsidR="00E71E4A">
        <w:t>,</w:t>
      </w:r>
      <w:r>
        <w:t>”</w:t>
      </w:r>
      <w:r w:rsidR="00E71E4A">
        <w:t xml:space="preserve"> which</w:t>
      </w:r>
      <w:r w:rsidR="004864FC">
        <w:t xml:space="preserve"> contained </w:t>
      </w:r>
      <w:r w:rsidR="009E42D3">
        <w:t xml:space="preserve">estimated </w:t>
      </w:r>
      <w:r w:rsidR="003C0A48">
        <w:t xml:space="preserve">direct and indirect </w:t>
      </w:r>
      <w:r w:rsidR="009E42D3">
        <w:t xml:space="preserve">teaching costs per inpatient bed day for each MD hospital and </w:t>
      </w:r>
      <w:r w:rsidR="003C0A48">
        <w:t xml:space="preserve">average levels by </w:t>
      </w:r>
      <w:r w:rsidR="000E14BC">
        <w:t>MSA</w:t>
      </w:r>
      <w:r w:rsidR="003C0A48">
        <w:t xml:space="preserve"> for non-Maryland MSAs</w:t>
      </w:r>
      <w:r w:rsidR="009E42D3">
        <w:t>. T</w:t>
      </w:r>
      <w:r w:rsidR="004864FC">
        <w:t>he</w:t>
      </w:r>
      <w:r w:rsidR="003C0A48">
        <w:t>se estimates were</w:t>
      </w:r>
      <w:r w:rsidR="009E42D3">
        <w:t xml:space="preserve"> used to</w:t>
      </w:r>
      <w:r w:rsidR="004864FC">
        <w:t xml:space="preserve"> remove </w:t>
      </w:r>
      <w:r w:rsidR="009E42D3">
        <w:t xml:space="preserve">teaching costs from APCD and CHSD inpatient metrics with the exception of residential treatment, normal newborn, and skilled nursing days. </w:t>
      </w:r>
      <w:r w:rsidR="003C0A48">
        <w:t>Both inpatient and outpatient GME costs were removed through the inpatient per diems.</w:t>
      </w:r>
      <w:r w:rsidR="0033743F">
        <w:t xml:space="preserve"> </w:t>
      </w:r>
    </w:p>
    <w:p w14:paraId="24DB9AFA" w14:textId="3D008BD9" w:rsidR="00C31C7A" w:rsidRPr="00C31C7A" w:rsidRDefault="00C31C7A" w:rsidP="00A721A5">
      <w:pPr>
        <w:pStyle w:val="BodyText"/>
      </w:pPr>
      <w:r>
        <w:rPr>
          <w:i/>
          <w:iCs/>
        </w:rPr>
        <w:lastRenderedPageBreak/>
        <w:t xml:space="preserve">Medicare Cost Reports: </w:t>
      </w:r>
      <w:r>
        <w:t xml:space="preserve">We used publicly available Medicare Cost Reports from FY 2017 to obtain the percent of bed days covered by Medicare and Medicaid. </w:t>
      </w:r>
      <w:r w:rsidR="007166D5">
        <w:t xml:space="preserve"> Bed day statistics by payer </w:t>
      </w:r>
      <w:r w:rsidR="009833D8">
        <w:t>were</w:t>
      </w:r>
      <w:r w:rsidR="007166D5">
        <w:t xml:space="preserve"> based on values reported by facilities and appear in Worksheet S-3 Part I</w:t>
      </w:r>
      <w:r w:rsidR="00224609">
        <w:t xml:space="preserve"> of each hospital’s filed Medicare Cost Report</w:t>
      </w:r>
      <w:r w:rsidR="007166D5">
        <w:t>.</w:t>
      </w:r>
    </w:p>
    <w:p w14:paraId="236859AD" w14:textId="087AEF06" w:rsidR="00897C95" w:rsidRDefault="0049396C" w:rsidP="00A721A5">
      <w:pPr>
        <w:pStyle w:val="BodyText"/>
      </w:pPr>
      <w:r w:rsidRPr="00C31C7A">
        <w:rPr>
          <w:i/>
          <w:iCs/>
        </w:rPr>
        <w:t xml:space="preserve">Publicly available </w:t>
      </w:r>
      <w:r w:rsidR="00C31C7A" w:rsidRPr="00C31C7A">
        <w:rPr>
          <w:i/>
          <w:iCs/>
        </w:rPr>
        <w:t>geographic descriptors</w:t>
      </w:r>
      <w:r w:rsidRPr="00C31C7A">
        <w:rPr>
          <w:i/>
          <w:iCs/>
        </w:rPr>
        <w:t>:</w:t>
      </w:r>
      <w:r>
        <w:t xml:space="preserve"> </w:t>
      </w:r>
      <w:r w:rsidR="00C31C7A">
        <w:t xml:space="preserve">We used several data sources to obtain the information needed to profile and match national benchmark regions to MD regions. These include the </w:t>
      </w:r>
      <w:r>
        <w:t>American Community Survey</w:t>
      </w:r>
      <w:r w:rsidR="00C31C7A">
        <w:t>s</w:t>
      </w:r>
      <w:r>
        <w:t xml:space="preserve"> (ACS)</w:t>
      </w:r>
      <w:r w:rsidR="00C31C7A">
        <w:t xml:space="preserve"> and Bureau of Economic Analysis (BEA).</w:t>
      </w:r>
      <w:r w:rsidR="004C6FA1">
        <w:t xml:space="preserve"> </w:t>
      </w:r>
    </w:p>
    <w:p w14:paraId="2798DD6E" w14:textId="2C9F50F2" w:rsidR="005A0B5E" w:rsidRDefault="00B43701" w:rsidP="00901BB6">
      <w:pPr>
        <w:pStyle w:val="Heading1"/>
      </w:pPr>
      <w:bookmarkStart w:id="4" w:name="_Toc35363774"/>
      <w:r>
        <w:t>Methodological Steps</w:t>
      </w:r>
      <w:bookmarkEnd w:id="4"/>
    </w:p>
    <w:p w14:paraId="2E7383C1" w14:textId="218440E4" w:rsidR="005A0B5E" w:rsidRDefault="00C31C7A" w:rsidP="00A309AA">
      <w:pPr>
        <w:pStyle w:val="BodyText"/>
        <w:spacing w:before="240"/>
      </w:pPr>
      <w:r>
        <w:t>Below</w:t>
      </w:r>
      <w:r w:rsidR="009077DA">
        <w:t>,</w:t>
      </w:r>
      <w:r>
        <w:t xml:space="preserve"> we </w:t>
      </w:r>
      <w:r w:rsidR="00CB08CE">
        <w:t>describe</w:t>
      </w:r>
      <w:r>
        <w:t xml:space="preserve"> the</w:t>
      </w:r>
      <w:r w:rsidR="005A0B5E">
        <w:t xml:space="preserve"> </w:t>
      </w:r>
      <w:r>
        <w:t xml:space="preserve">methodology </w:t>
      </w:r>
      <w:r w:rsidR="00CB08CE">
        <w:t xml:space="preserve">for </w:t>
      </w:r>
      <w:r>
        <w:t>identify</w:t>
      </w:r>
      <w:r w:rsidR="00CB08CE">
        <w:t>ing</w:t>
      </w:r>
      <w:r>
        <w:t xml:space="preserve"> and compar</w:t>
      </w:r>
      <w:r w:rsidR="00CB08CE">
        <w:t>ing</w:t>
      </w:r>
      <w:r>
        <w:t xml:space="preserve"> benchmarks for the commercially insured population</w:t>
      </w:r>
      <w:r w:rsidR="00CB08CE">
        <w:t>. We take the following steps</w:t>
      </w:r>
      <w:r>
        <w:t>:</w:t>
      </w:r>
      <w:r w:rsidR="005A0B5E">
        <w:t xml:space="preserve"> </w:t>
      </w:r>
      <w:r w:rsidR="00A309AA">
        <w:t>(</w:t>
      </w:r>
      <w:r w:rsidR="007C308D">
        <w:t>1</w:t>
      </w:r>
      <w:r w:rsidR="00A309AA">
        <w:t xml:space="preserve">) </w:t>
      </w:r>
      <w:r>
        <w:t xml:space="preserve">define </w:t>
      </w:r>
      <w:r w:rsidR="007C308D">
        <w:t xml:space="preserve">the </w:t>
      </w:r>
      <w:r>
        <w:t>geographic</w:t>
      </w:r>
      <w:r w:rsidR="007C308D">
        <w:t xml:space="preserve"> area of MD and the benchmarks</w:t>
      </w:r>
      <w:r w:rsidR="00A309AA">
        <w:t xml:space="preserve"> </w:t>
      </w:r>
      <w:r w:rsidR="005A0B5E">
        <w:t>(</w:t>
      </w:r>
      <w:r w:rsidR="007C308D">
        <w:t>2</w:t>
      </w:r>
      <w:r w:rsidR="005A0B5E">
        <w:t xml:space="preserve">) </w:t>
      </w:r>
      <w:r w:rsidR="007C308D">
        <w:t xml:space="preserve">compile </w:t>
      </w:r>
      <w:r w:rsidR="005A0B5E">
        <w:t xml:space="preserve">characteristics used to describe the </w:t>
      </w:r>
      <w:r w:rsidR="007C308D">
        <w:t>geographic areas</w:t>
      </w:r>
      <w:r w:rsidR="00A309AA">
        <w:t xml:space="preserve">; </w:t>
      </w:r>
      <w:r w:rsidR="005A0B5E">
        <w:t>(</w:t>
      </w:r>
      <w:r w:rsidR="007C308D">
        <w:t>3</w:t>
      </w:r>
      <w:r w:rsidR="005A0B5E">
        <w:t xml:space="preserve">) </w:t>
      </w:r>
      <w:r w:rsidR="007C308D">
        <w:t xml:space="preserve">select the benchmark regions most similar to MD regions; (4) compute the metrics to be compared between the benchmark and MD regions; (5) normalize the metrics to improve comparability between the benchmark and MD regions; and (6) </w:t>
      </w:r>
      <w:r w:rsidR="00355670">
        <w:t xml:space="preserve">compare benchmark and MD regions on cost and utilization metrics. </w:t>
      </w:r>
    </w:p>
    <w:p w14:paraId="6342830F" w14:textId="5090F177" w:rsidR="00897C95" w:rsidRDefault="00897C95" w:rsidP="00897C95">
      <w:pPr>
        <w:pStyle w:val="Heading2"/>
      </w:pPr>
      <w:bookmarkStart w:id="5" w:name="_Toc35363775"/>
      <w:r>
        <w:t>Define Geographies</w:t>
      </w:r>
      <w:bookmarkEnd w:id="5"/>
    </w:p>
    <w:p w14:paraId="09AB473F" w14:textId="18A7BBDB" w:rsidR="00A82E6F" w:rsidRDefault="00355670" w:rsidP="005632A0">
      <w:pPr>
        <w:pStyle w:val="BodyText"/>
      </w:pPr>
      <w:r>
        <w:t xml:space="preserve">The smallest geographic unit available (consistently across all data contributors) in the CHSD is the Metropolitan Statistical Area </w:t>
      </w:r>
      <w:r w:rsidR="00E016C2">
        <w:t xml:space="preserve">(MSA) </w:t>
      </w:r>
      <w:r>
        <w:t>and</w:t>
      </w:r>
      <w:r w:rsidR="005632A0">
        <w:t xml:space="preserve"> state</w:t>
      </w:r>
      <w:r>
        <w:t xml:space="preserve">. </w:t>
      </w:r>
      <w:r w:rsidR="005632A0">
        <w:t xml:space="preserve"> </w:t>
      </w:r>
      <w:r>
        <w:t xml:space="preserve">MSAs are </w:t>
      </w:r>
      <w:r w:rsidR="00A82E6F">
        <w:t xml:space="preserve">defined by the Office of Management and Budget (OMB) and consist of </w:t>
      </w:r>
      <w:r>
        <w:t>clusters of counties</w:t>
      </w:r>
      <w:r w:rsidR="00A82E6F">
        <w:t xml:space="preserve"> with economic ties. </w:t>
      </w:r>
      <w:r w:rsidR="000C2732">
        <w:t>The MSA</w:t>
      </w:r>
      <w:r w:rsidR="00A82E6F">
        <w:t xml:space="preserve"> generally </w:t>
      </w:r>
      <w:r w:rsidR="000C2732">
        <w:t>is centered around a</w:t>
      </w:r>
      <w:r w:rsidR="00A82E6F">
        <w:t xml:space="preserve"> </w:t>
      </w:r>
      <w:r>
        <w:t>high</w:t>
      </w:r>
      <w:r w:rsidR="00A82E6F">
        <w:t xml:space="preserve"> population</w:t>
      </w:r>
      <w:r>
        <w:t xml:space="preserve"> density</w:t>
      </w:r>
      <w:r w:rsidR="00A82E6F">
        <w:t xml:space="preserve"> core, such as a large city, but MSAs can also be composed of multiple smaller cities. MSAs cross state borders, but the CHSD data allow for distinguishing MSAs by state. There </w:t>
      </w:r>
      <w:r w:rsidR="000C2732">
        <w:t xml:space="preserve">were </w:t>
      </w:r>
      <w:r w:rsidR="00FE480D">
        <w:t>394</w:t>
      </w:r>
      <w:r w:rsidR="000C2732">
        <w:t xml:space="preserve"> MSA-state areas in the U.S. in 2017</w:t>
      </w:r>
      <w:r w:rsidR="00FE480D">
        <w:t xml:space="preserve"> (excluding MSAs in or overlapping with MD)</w:t>
      </w:r>
      <w:r w:rsidR="000C2732">
        <w:t>. Geographic regions that are not considered part of any MSA are labeled as the non-MSA portion of a state (there are 50 non-MSA regions in the U.S.).</w:t>
      </w:r>
      <w:r w:rsidR="00E016C2">
        <w:t xml:space="preserve"> We did not use any non-MSAs regions </w:t>
      </w:r>
      <w:r w:rsidR="00530333">
        <w:t xml:space="preserve">for benchmarking to MD. </w:t>
      </w:r>
    </w:p>
    <w:p w14:paraId="77195572" w14:textId="38ACE561" w:rsidR="00EF7B86" w:rsidRDefault="009077DA" w:rsidP="005632A0">
      <w:pPr>
        <w:pStyle w:val="BodyText"/>
      </w:pPr>
      <w:r>
        <w:t xml:space="preserve">To define MD areas, we delineated MSAs in MD. </w:t>
      </w:r>
      <w:r w:rsidR="000C2732">
        <w:t xml:space="preserve">There are eight MSAs with all or some portion in MD, plus the non-MSA areas. We redistributed some MD counties that were geographically proximal and more economically similar, resulting in five MD regions (see </w:t>
      </w:r>
      <w:r w:rsidR="000C2732" w:rsidRPr="000C2732">
        <w:rPr>
          <w:b/>
          <w:bCs/>
        </w:rPr>
        <w:t>Exhibit 1</w:t>
      </w:r>
      <w:r w:rsidR="000C2732">
        <w:t xml:space="preserve">). </w:t>
      </w:r>
    </w:p>
    <w:p w14:paraId="318392F8" w14:textId="7BEB569A" w:rsidR="002C3B86" w:rsidRPr="000E27FF" w:rsidRDefault="002C3B86" w:rsidP="000E27FF">
      <w:pPr>
        <w:pStyle w:val="Caption"/>
      </w:pPr>
      <w:r w:rsidRPr="000E27FF">
        <w:lastRenderedPageBreak/>
        <w:t>Exhibit 1. Maryland Counties Were Categorized into Five Regions</w:t>
      </w:r>
    </w:p>
    <w:p w14:paraId="587B2BCA" w14:textId="257E080D" w:rsidR="002C3B86" w:rsidRDefault="009077DA" w:rsidP="00EF7B86">
      <w:pPr>
        <w:pStyle w:val="BodyText"/>
        <w:ind w:left="360"/>
      </w:pPr>
      <w:r w:rsidRPr="00AB253C">
        <w:rPr>
          <w:noProof/>
          <w:lang w:val="en-US"/>
        </w:rPr>
        <w:drawing>
          <wp:anchor distT="0" distB="0" distL="114300" distR="114300" simplePos="0" relativeHeight="251717632" behindDoc="0" locked="0" layoutInCell="1" allowOverlap="1" wp14:anchorId="0E280E26" wp14:editId="60BBCD9A">
            <wp:simplePos x="0" y="0"/>
            <wp:positionH relativeFrom="column">
              <wp:posOffset>533878</wp:posOffset>
            </wp:positionH>
            <wp:positionV relativeFrom="paragraph">
              <wp:posOffset>1245870</wp:posOffset>
            </wp:positionV>
            <wp:extent cx="2292761" cy="1086416"/>
            <wp:effectExtent l="0" t="0" r="0" b="6350"/>
            <wp:wrapNone/>
            <wp:docPr id="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292761" cy="1086416"/>
                    </a:xfrm>
                    <a:prstGeom prst="rect">
                      <a:avLst/>
                    </a:prstGeom>
                  </pic:spPr>
                </pic:pic>
              </a:graphicData>
            </a:graphic>
            <wp14:sizeRelH relativeFrom="page">
              <wp14:pctWidth>0</wp14:pctWidth>
            </wp14:sizeRelH>
            <wp14:sizeRelV relativeFrom="page">
              <wp14:pctHeight>0</wp14:pctHeight>
            </wp14:sizeRelV>
          </wp:anchor>
        </w:drawing>
      </w:r>
      <w:r w:rsidR="00FF762D" w:rsidRPr="00FF762D">
        <w:rPr>
          <w:noProof/>
          <w:lang w:val="en-US"/>
        </w:rPr>
        <w:drawing>
          <wp:inline distT="0" distB="0" distL="0" distR="0" wp14:anchorId="7E6B7F02" wp14:editId="0B99CC99">
            <wp:extent cx="5943600" cy="3131820"/>
            <wp:effectExtent l="0" t="0" r="0" b="5080"/>
            <wp:docPr id="5"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131820"/>
                    </a:xfrm>
                    <a:prstGeom prst="rect">
                      <a:avLst/>
                    </a:prstGeom>
                    <a:ln>
                      <a:noFill/>
                    </a:ln>
                  </pic:spPr>
                </pic:pic>
              </a:graphicData>
            </a:graphic>
          </wp:inline>
        </w:drawing>
      </w:r>
      <w:r w:rsidR="007E7735" w:rsidRPr="007E7735">
        <w:rPr>
          <w:noProof/>
        </w:rPr>
        <w:t xml:space="preserve"> </w:t>
      </w:r>
    </w:p>
    <w:tbl>
      <w:tblPr>
        <w:tblStyle w:val="AbtFinal"/>
        <w:tblW w:w="8939" w:type="dxa"/>
        <w:jc w:val="center"/>
        <w:tblLook w:val="04A0" w:firstRow="1" w:lastRow="0" w:firstColumn="1" w:lastColumn="0" w:noHBand="0" w:noVBand="1"/>
      </w:tblPr>
      <w:tblGrid>
        <w:gridCol w:w="1975"/>
        <w:gridCol w:w="1885"/>
        <w:gridCol w:w="2820"/>
        <w:gridCol w:w="2259"/>
      </w:tblGrid>
      <w:tr w:rsidR="002C3B86" w:rsidRPr="002C3B86" w14:paraId="6716C7F8" w14:textId="20CB4DD9" w:rsidTr="00FB004C">
        <w:trPr>
          <w:cnfStyle w:val="100000000000" w:firstRow="1" w:lastRow="0" w:firstColumn="0" w:lastColumn="0" w:oddVBand="0" w:evenVBand="0" w:oddHBand="0" w:evenHBand="0" w:firstRowFirstColumn="0" w:firstRowLastColumn="0" w:lastRowFirstColumn="0" w:lastRowLastColumn="0"/>
          <w:trHeight w:val="300"/>
          <w:tblHeader/>
          <w:jc w:val="center"/>
        </w:trPr>
        <w:tc>
          <w:tcPr>
            <w:cnfStyle w:val="001000000000" w:firstRow="0" w:lastRow="0" w:firstColumn="1" w:lastColumn="0" w:oddVBand="0" w:evenVBand="0" w:oddHBand="0" w:evenHBand="0" w:firstRowFirstColumn="0" w:firstRowLastColumn="0" w:lastRowFirstColumn="0" w:lastRowLastColumn="0"/>
            <w:tcW w:w="0" w:type="dxa"/>
            <w:noWrap/>
            <w:hideMark/>
          </w:tcPr>
          <w:p w14:paraId="32D391C3" w14:textId="230CC2CE" w:rsidR="002C3B86" w:rsidRPr="002C3B86" w:rsidRDefault="002C3B86" w:rsidP="002C3B86">
            <w:pPr>
              <w:spacing w:after="0"/>
              <w:rPr>
                <w:rFonts w:cs="Calibri"/>
                <w:b w:val="0"/>
                <w:bCs/>
                <w:color w:val="FFFFFF"/>
                <w:sz w:val="20"/>
              </w:rPr>
            </w:pPr>
            <w:r w:rsidRPr="002C3B86">
              <w:rPr>
                <w:rFonts w:cs="Calibri"/>
                <w:bCs/>
                <w:color w:val="FFFFFF"/>
                <w:sz w:val="20"/>
              </w:rPr>
              <w:t>MD Region</w:t>
            </w:r>
          </w:p>
        </w:tc>
        <w:tc>
          <w:tcPr>
            <w:tcW w:w="0" w:type="dxa"/>
            <w:noWrap/>
            <w:hideMark/>
          </w:tcPr>
          <w:p w14:paraId="0128892E" w14:textId="77777777" w:rsidR="002C3B86" w:rsidRPr="002C3B86" w:rsidRDefault="002C3B86" w:rsidP="002C3B86">
            <w:pPr>
              <w:spacing w:after="0"/>
              <w:cnfStyle w:val="100000000000" w:firstRow="1" w:lastRow="0" w:firstColumn="0" w:lastColumn="0" w:oddVBand="0" w:evenVBand="0" w:oddHBand="0" w:evenHBand="0" w:firstRowFirstColumn="0" w:firstRowLastColumn="0" w:lastRowFirstColumn="0" w:lastRowLastColumn="0"/>
              <w:rPr>
                <w:rFonts w:cs="Calibri"/>
                <w:b w:val="0"/>
                <w:bCs/>
                <w:color w:val="FFFFFF"/>
                <w:sz w:val="20"/>
              </w:rPr>
            </w:pPr>
            <w:r w:rsidRPr="002C3B86">
              <w:rPr>
                <w:rFonts w:cs="Calibri"/>
                <w:bCs/>
                <w:color w:val="FFFFFF"/>
                <w:sz w:val="20"/>
              </w:rPr>
              <w:t>FIPS County Code</w:t>
            </w:r>
          </w:p>
        </w:tc>
        <w:tc>
          <w:tcPr>
            <w:tcW w:w="0" w:type="dxa"/>
            <w:noWrap/>
            <w:hideMark/>
          </w:tcPr>
          <w:p w14:paraId="0B235F97" w14:textId="77777777" w:rsidR="002C3B86" w:rsidRPr="002C3B86" w:rsidRDefault="002C3B86" w:rsidP="002C3B86">
            <w:pPr>
              <w:spacing w:after="0"/>
              <w:cnfStyle w:val="100000000000" w:firstRow="1" w:lastRow="0" w:firstColumn="0" w:lastColumn="0" w:oddVBand="0" w:evenVBand="0" w:oddHBand="0" w:evenHBand="0" w:firstRowFirstColumn="0" w:firstRowLastColumn="0" w:lastRowFirstColumn="0" w:lastRowLastColumn="0"/>
              <w:rPr>
                <w:rFonts w:cs="Calibri"/>
                <w:b w:val="0"/>
                <w:bCs/>
                <w:color w:val="FFFFFF"/>
                <w:sz w:val="20"/>
              </w:rPr>
            </w:pPr>
            <w:r w:rsidRPr="002C3B86">
              <w:rPr>
                <w:rFonts w:cs="Calibri"/>
                <w:bCs/>
                <w:color w:val="FFFFFF"/>
                <w:sz w:val="20"/>
              </w:rPr>
              <w:t>County Name</w:t>
            </w:r>
          </w:p>
        </w:tc>
        <w:tc>
          <w:tcPr>
            <w:tcW w:w="0" w:type="dxa"/>
          </w:tcPr>
          <w:p w14:paraId="58FC9DB1" w14:textId="62767748" w:rsidR="002C3B86" w:rsidRPr="002C3B86" w:rsidRDefault="002C3B86" w:rsidP="002C3B86">
            <w:pPr>
              <w:spacing w:after="0"/>
              <w:cnfStyle w:val="100000000000" w:firstRow="1" w:lastRow="0" w:firstColumn="0" w:lastColumn="0" w:oddVBand="0" w:evenVBand="0" w:oddHBand="0" w:evenHBand="0" w:firstRowFirstColumn="0" w:firstRowLastColumn="0" w:lastRowFirstColumn="0" w:lastRowLastColumn="0"/>
              <w:rPr>
                <w:rFonts w:cs="Calibri"/>
                <w:b w:val="0"/>
                <w:bCs/>
                <w:color w:val="FFFFFF"/>
                <w:sz w:val="20"/>
              </w:rPr>
            </w:pPr>
            <w:r>
              <w:rPr>
                <w:rFonts w:cs="Calibri"/>
                <w:bCs/>
                <w:color w:val="FFFFFF"/>
                <w:sz w:val="20"/>
              </w:rPr>
              <w:t>Metropolitan Statistical Area</w:t>
            </w:r>
          </w:p>
        </w:tc>
      </w:tr>
      <w:tr w:rsidR="002C3B86" w:rsidRPr="002C3B86" w14:paraId="47C0A231" w14:textId="7EB5138B" w:rsidTr="004A75F5">
        <w:trPr>
          <w:cnfStyle w:val="000000100000" w:firstRow="0" w:lastRow="0" w:firstColumn="0" w:lastColumn="0" w:oddVBand="0" w:evenVBand="0" w:oddHBand="1" w:evenHBand="0" w:firstRowFirstColumn="0" w:firstRowLastColumn="0" w:lastRowFirstColumn="0" w:lastRowLastColumn="0"/>
          <w:trHeight w:val="260"/>
          <w:jc w:val="center"/>
        </w:trPr>
        <w:tc>
          <w:tcPr>
            <w:cnfStyle w:val="001000000000" w:firstRow="0" w:lastRow="0" w:firstColumn="1" w:lastColumn="0" w:oddVBand="0" w:evenVBand="0" w:oddHBand="0" w:evenHBand="0" w:firstRowFirstColumn="0" w:firstRowLastColumn="0" w:lastRowFirstColumn="0" w:lastRowLastColumn="0"/>
            <w:tcW w:w="1975" w:type="dxa"/>
            <w:vMerge w:val="restart"/>
            <w:noWrap/>
            <w:hideMark/>
          </w:tcPr>
          <w:p w14:paraId="4B9D7FF4" w14:textId="77777777" w:rsidR="002C3B86" w:rsidRDefault="002C3B86" w:rsidP="002C3B86">
            <w:pPr>
              <w:spacing w:after="0"/>
              <w:jc w:val="center"/>
              <w:rPr>
                <w:rFonts w:cs="Calibri"/>
                <w:sz w:val="20"/>
              </w:rPr>
            </w:pPr>
            <w:r w:rsidRPr="002C3B86">
              <w:rPr>
                <w:rFonts w:cs="Calibri"/>
                <w:sz w:val="20"/>
              </w:rPr>
              <w:t>MD</w:t>
            </w:r>
            <w:r>
              <w:rPr>
                <w:rFonts w:cs="Calibri"/>
                <w:sz w:val="20"/>
              </w:rPr>
              <w:t>1</w:t>
            </w:r>
          </w:p>
          <w:p w14:paraId="67DEADA9" w14:textId="0D06131C" w:rsidR="002C3B86" w:rsidRPr="002C3B86" w:rsidRDefault="002C3B86" w:rsidP="002C3B86">
            <w:pPr>
              <w:spacing w:after="0"/>
              <w:jc w:val="center"/>
              <w:rPr>
                <w:rFonts w:cs="Calibri"/>
                <w:sz w:val="20"/>
              </w:rPr>
            </w:pPr>
            <w:r>
              <w:rPr>
                <w:rFonts w:cs="Calibri"/>
                <w:sz w:val="20"/>
              </w:rPr>
              <w:t>Southern MD</w:t>
            </w:r>
          </w:p>
        </w:tc>
        <w:tc>
          <w:tcPr>
            <w:tcW w:w="1885" w:type="dxa"/>
            <w:noWrap/>
            <w:hideMark/>
          </w:tcPr>
          <w:p w14:paraId="2B92790E" w14:textId="77777777" w:rsidR="002C3B86" w:rsidRPr="002C3B86" w:rsidRDefault="002C3B86" w:rsidP="002C3B86">
            <w:pPr>
              <w:spacing w:after="0"/>
              <w:jc w:val="center"/>
              <w:cnfStyle w:val="000000100000" w:firstRow="0" w:lastRow="0" w:firstColumn="0" w:lastColumn="0" w:oddVBand="0" w:evenVBand="0" w:oddHBand="1" w:evenHBand="0" w:firstRowFirstColumn="0" w:firstRowLastColumn="0" w:lastRowFirstColumn="0" w:lastRowLastColumn="0"/>
              <w:rPr>
                <w:rFonts w:cs="Calibri"/>
                <w:sz w:val="20"/>
              </w:rPr>
            </w:pPr>
            <w:r w:rsidRPr="002C3B86">
              <w:rPr>
                <w:rFonts w:cs="Calibri"/>
                <w:sz w:val="20"/>
              </w:rPr>
              <w:t>24037</w:t>
            </w:r>
          </w:p>
        </w:tc>
        <w:tc>
          <w:tcPr>
            <w:tcW w:w="2820" w:type="dxa"/>
            <w:noWrap/>
            <w:hideMark/>
          </w:tcPr>
          <w:p w14:paraId="2D3AE71A" w14:textId="597F87A9" w:rsidR="002C3B86" w:rsidRPr="002C3B86" w:rsidRDefault="002C3B86" w:rsidP="002C3B86">
            <w:pPr>
              <w:spacing w:after="0"/>
              <w:ind w:firstLineChars="100" w:firstLine="200"/>
              <w:cnfStyle w:val="000000100000" w:firstRow="0" w:lastRow="0" w:firstColumn="0" w:lastColumn="0" w:oddVBand="0" w:evenVBand="0" w:oddHBand="1" w:evenHBand="0" w:firstRowFirstColumn="0" w:firstRowLastColumn="0" w:lastRowFirstColumn="0" w:lastRowLastColumn="0"/>
              <w:rPr>
                <w:rFonts w:cs="Calibri"/>
                <w:sz w:val="20"/>
              </w:rPr>
            </w:pPr>
            <w:r w:rsidRPr="002C3B86">
              <w:rPr>
                <w:rFonts w:cs="Calibri"/>
                <w:sz w:val="20"/>
              </w:rPr>
              <w:t>St. Mary's County</w:t>
            </w:r>
          </w:p>
        </w:tc>
        <w:tc>
          <w:tcPr>
            <w:tcW w:w="2259" w:type="dxa"/>
          </w:tcPr>
          <w:p w14:paraId="7BB1B9A6" w14:textId="2A608088" w:rsidR="002C3B86" w:rsidRPr="002C3B86" w:rsidRDefault="002C3B86" w:rsidP="004A75F5">
            <w:pPr>
              <w:spacing w:after="0"/>
              <w:ind w:firstLineChars="100" w:firstLine="200"/>
              <w:jc w:val="center"/>
              <w:cnfStyle w:val="000000100000" w:firstRow="0" w:lastRow="0" w:firstColumn="0" w:lastColumn="0" w:oddVBand="0" w:evenVBand="0" w:oddHBand="1" w:evenHBand="0" w:firstRowFirstColumn="0" w:firstRowLastColumn="0" w:lastRowFirstColumn="0" w:lastRowLastColumn="0"/>
              <w:rPr>
                <w:rFonts w:cs="Calibri"/>
                <w:sz w:val="20"/>
              </w:rPr>
            </w:pPr>
            <w:r w:rsidRPr="002C3B86">
              <w:rPr>
                <w:rFonts w:cs="Calibri"/>
                <w:sz w:val="20"/>
              </w:rPr>
              <w:t>15680</w:t>
            </w:r>
          </w:p>
        </w:tc>
      </w:tr>
      <w:tr w:rsidR="002C3B86" w:rsidRPr="002C3B86" w14:paraId="0340FCB2" w14:textId="50DAF947" w:rsidTr="004A75F5">
        <w:trPr>
          <w:cnfStyle w:val="000000010000" w:firstRow="0" w:lastRow="0" w:firstColumn="0" w:lastColumn="0" w:oddVBand="0" w:evenVBand="0" w:oddHBand="0" w:evenHBand="1" w:firstRowFirstColumn="0" w:firstRowLastColumn="0" w:lastRowFirstColumn="0" w:lastRowLastColumn="0"/>
          <w:trHeight w:val="260"/>
          <w:jc w:val="center"/>
        </w:trPr>
        <w:tc>
          <w:tcPr>
            <w:cnfStyle w:val="001000000000" w:firstRow="0" w:lastRow="0" w:firstColumn="1" w:lastColumn="0" w:oddVBand="0" w:evenVBand="0" w:oddHBand="0" w:evenHBand="0" w:firstRowFirstColumn="0" w:firstRowLastColumn="0" w:lastRowFirstColumn="0" w:lastRowLastColumn="0"/>
            <w:tcW w:w="1975" w:type="dxa"/>
            <w:vMerge/>
            <w:hideMark/>
          </w:tcPr>
          <w:p w14:paraId="441B1229" w14:textId="77777777" w:rsidR="002C3B86" w:rsidRPr="002C3B86" w:rsidRDefault="002C3B86" w:rsidP="002C3B86">
            <w:pPr>
              <w:spacing w:after="0"/>
              <w:rPr>
                <w:rFonts w:cs="Calibri"/>
                <w:sz w:val="20"/>
              </w:rPr>
            </w:pPr>
          </w:p>
        </w:tc>
        <w:tc>
          <w:tcPr>
            <w:tcW w:w="1885" w:type="dxa"/>
            <w:noWrap/>
            <w:hideMark/>
          </w:tcPr>
          <w:p w14:paraId="23F2C121" w14:textId="77777777" w:rsidR="002C3B86" w:rsidRPr="002C3B86" w:rsidRDefault="002C3B86" w:rsidP="002C3B86">
            <w:pPr>
              <w:spacing w:after="0"/>
              <w:jc w:val="center"/>
              <w:cnfStyle w:val="000000010000" w:firstRow="0" w:lastRow="0" w:firstColumn="0" w:lastColumn="0" w:oddVBand="0" w:evenVBand="0" w:oddHBand="0" w:evenHBand="1" w:firstRowFirstColumn="0" w:firstRowLastColumn="0" w:lastRowFirstColumn="0" w:lastRowLastColumn="0"/>
              <w:rPr>
                <w:rFonts w:cs="Calibri"/>
                <w:sz w:val="20"/>
              </w:rPr>
            </w:pPr>
            <w:r w:rsidRPr="002C3B86">
              <w:rPr>
                <w:rFonts w:cs="Calibri"/>
                <w:sz w:val="20"/>
              </w:rPr>
              <w:t>24009</w:t>
            </w:r>
          </w:p>
        </w:tc>
        <w:tc>
          <w:tcPr>
            <w:tcW w:w="2820" w:type="dxa"/>
            <w:noWrap/>
            <w:hideMark/>
          </w:tcPr>
          <w:p w14:paraId="32E7D772" w14:textId="042CCC47" w:rsidR="002C3B86" w:rsidRPr="002C3B86" w:rsidRDefault="002C3B86" w:rsidP="002C3B86">
            <w:pPr>
              <w:spacing w:after="0"/>
              <w:ind w:firstLineChars="100" w:firstLine="200"/>
              <w:cnfStyle w:val="000000010000" w:firstRow="0" w:lastRow="0" w:firstColumn="0" w:lastColumn="0" w:oddVBand="0" w:evenVBand="0" w:oddHBand="0" w:evenHBand="1" w:firstRowFirstColumn="0" w:firstRowLastColumn="0" w:lastRowFirstColumn="0" w:lastRowLastColumn="0"/>
              <w:rPr>
                <w:rFonts w:cs="Calibri"/>
                <w:sz w:val="20"/>
              </w:rPr>
            </w:pPr>
            <w:r w:rsidRPr="002C3B86">
              <w:rPr>
                <w:rFonts w:cs="Calibri"/>
                <w:sz w:val="20"/>
              </w:rPr>
              <w:t>Calvert County</w:t>
            </w:r>
          </w:p>
        </w:tc>
        <w:tc>
          <w:tcPr>
            <w:tcW w:w="2259" w:type="dxa"/>
          </w:tcPr>
          <w:p w14:paraId="6F596F64" w14:textId="532FAA50" w:rsidR="002C3B86" w:rsidRPr="002C3B86" w:rsidRDefault="002C3B86" w:rsidP="004A75F5">
            <w:pPr>
              <w:spacing w:after="0"/>
              <w:ind w:firstLineChars="100" w:firstLine="200"/>
              <w:jc w:val="center"/>
              <w:cnfStyle w:val="000000010000" w:firstRow="0" w:lastRow="0" w:firstColumn="0" w:lastColumn="0" w:oddVBand="0" w:evenVBand="0" w:oddHBand="0" w:evenHBand="1" w:firstRowFirstColumn="0" w:firstRowLastColumn="0" w:lastRowFirstColumn="0" w:lastRowLastColumn="0"/>
              <w:rPr>
                <w:rFonts w:cs="Calibri"/>
                <w:sz w:val="20"/>
              </w:rPr>
            </w:pPr>
            <w:r w:rsidRPr="002C3B86">
              <w:rPr>
                <w:rFonts w:cs="Calibri"/>
                <w:sz w:val="20"/>
              </w:rPr>
              <w:t>47894</w:t>
            </w:r>
          </w:p>
        </w:tc>
      </w:tr>
      <w:tr w:rsidR="002C3B86" w:rsidRPr="002C3B86" w14:paraId="19B24771" w14:textId="5DD84D2F" w:rsidTr="004A75F5">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975" w:type="dxa"/>
            <w:vMerge/>
            <w:hideMark/>
          </w:tcPr>
          <w:p w14:paraId="6F2AE8B1" w14:textId="77777777" w:rsidR="002C3B86" w:rsidRPr="002C3B86" w:rsidRDefault="002C3B86" w:rsidP="002C3B86">
            <w:pPr>
              <w:spacing w:after="0"/>
              <w:rPr>
                <w:rFonts w:cs="Calibri"/>
                <w:sz w:val="20"/>
              </w:rPr>
            </w:pPr>
          </w:p>
        </w:tc>
        <w:tc>
          <w:tcPr>
            <w:tcW w:w="1885" w:type="dxa"/>
            <w:noWrap/>
            <w:hideMark/>
          </w:tcPr>
          <w:p w14:paraId="6113993F" w14:textId="77777777" w:rsidR="002C3B86" w:rsidRPr="002C3B86" w:rsidRDefault="002C3B86" w:rsidP="002C3B86">
            <w:pPr>
              <w:spacing w:after="0"/>
              <w:jc w:val="center"/>
              <w:cnfStyle w:val="000000100000" w:firstRow="0" w:lastRow="0" w:firstColumn="0" w:lastColumn="0" w:oddVBand="0" w:evenVBand="0" w:oddHBand="1" w:evenHBand="0" w:firstRowFirstColumn="0" w:firstRowLastColumn="0" w:lastRowFirstColumn="0" w:lastRowLastColumn="0"/>
              <w:rPr>
                <w:rFonts w:cs="Calibri"/>
                <w:sz w:val="20"/>
              </w:rPr>
            </w:pPr>
            <w:r w:rsidRPr="002C3B86">
              <w:rPr>
                <w:rFonts w:cs="Calibri"/>
                <w:sz w:val="20"/>
              </w:rPr>
              <w:t>24017</w:t>
            </w:r>
          </w:p>
        </w:tc>
        <w:tc>
          <w:tcPr>
            <w:tcW w:w="2820" w:type="dxa"/>
            <w:noWrap/>
            <w:hideMark/>
          </w:tcPr>
          <w:p w14:paraId="47EAE725" w14:textId="41674CA2" w:rsidR="002C3B86" w:rsidRPr="002C3B86" w:rsidRDefault="002C3B86" w:rsidP="002C3B86">
            <w:pPr>
              <w:spacing w:after="0"/>
              <w:ind w:firstLineChars="100" w:firstLine="200"/>
              <w:cnfStyle w:val="000000100000" w:firstRow="0" w:lastRow="0" w:firstColumn="0" w:lastColumn="0" w:oddVBand="0" w:evenVBand="0" w:oddHBand="1" w:evenHBand="0" w:firstRowFirstColumn="0" w:firstRowLastColumn="0" w:lastRowFirstColumn="0" w:lastRowLastColumn="0"/>
              <w:rPr>
                <w:rFonts w:cs="Calibri"/>
                <w:sz w:val="20"/>
              </w:rPr>
            </w:pPr>
            <w:r w:rsidRPr="002C3B86">
              <w:rPr>
                <w:rFonts w:cs="Calibri"/>
                <w:sz w:val="20"/>
              </w:rPr>
              <w:t>Charles County</w:t>
            </w:r>
          </w:p>
        </w:tc>
        <w:tc>
          <w:tcPr>
            <w:tcW w:w="2259" w:type="dxa"/>
          </w:tcPr>
          <w:p w14:paraId="5FCAF291" w14:textId="66A58EC9" w:rsidR="002C3B86" w:rsidRPr="002C3B86" w:rsidRDefault="002C3B86" w:rsidP="004A75F5">
            <w:pPr>
              <w:spacing w:after="0"/>
              <w:ind w:firstLineChars="100" w:firstLine="200"/>
              <w:jc w:val="center"/>
              <w:cnfStyle w:val="000000100000" w:firstRow="0" w:lastRow="0" w:firstColumn="0" w:lastColumn="0" w:oddVBand="0" w:evenVBand="0" w:oddHBand="1" w:evenHBand="0" w:firstRowFirstColumn="0" w:firstRowLastColumn="0" w:lastRowFirstColumn="0" w:lastRowLastColumn="0"/>
              <w:rPr>
                <w:rFonts w:cs="Calibri"/>
                <w:sz w:val="20"/>
              </w:rPr>
            </w:pPr>
            <w:r w:rsidRPr="002C3B86">
              <w:rPr>
                <w:rFonts w:cs="Calibri"/>
                <w:sz w:val="20"/>
              </w:rPr>
              <w:t>47894</w:t>
            </w:r>
          </w:p>
        </w:tc>
      </w:tr>
      <w:tr w:rsidR="002C3B86" w:rsidRPr="002C3B86" w14:paraId="143250B4" w14:textId="39761A18" w:rsidTr="004A75F5">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975" w:type="dxa"/>
            <w:vMerge/>
            <w:hideMark/>
          </w:tcPr>
          <w:p w14:paraId="676B7B16" w14:textId="77777777" w:rsidR="002C3B86" w:rsidRPr="002C3B86" w:rsidRDefault="002C3B86" w:rsidP="002C3B86">
            <w:pPr>
              <w:spacing w:after="0"/>
              <w:rPr>
                <w:rFonts w:cs="Calibri"/>
                <w:sz w:val="20"/>
              </w:rPr>
            </w:pPr>
          </w:p>
        </w:tc>
        <w:tc>
          <w:tcPr>
            <w:tcW w:w="1885" w:type="dxa"/>
            <w:noWrap/>
            <w:hideMark/>
          </w:tcPr>
          <w:p w14:paraId="2B8C1515" w14:textId="77777777" w:rsidR="002C3B86" w:rsidRPr="002C3B86" w:rsidRDefault="002C3B86" w:rsidP="002C3B86">
            <w:pPr>
              <w:spacing w:after="0"/>
              <w:jc w:val="center"/>
              <w:cnfStyle w:val="000000010000" w:firstRow="0" w:lastRow="0" w:firstColumn="0" w:lastColumn="0" w:oddVBand="0" w:evenVBand="0" w:oddHBand="0" w:evenHBand="1" w:firstRowFirstColumn="0" w:firstRowLastColumn="0" w:lastRowFirstColumn="0" w:lastRowLastColumn="0"/>
              <w:rPr>
                <w:rFonts w:cs="Calibri"/>
                <w:sz w:val="20"/>
              </w:rPr>
            </w:pPr>
            <w:r w:rsidRPr="002C3B86">
              <w:rPr>
                <w:rFonts w:cs="Calibri"/>
                <w:sz w:val="20"/>
              </w:rPr>
              <w:t>24033</w:t>
            </w:r>
          </w:p>
        </w:tc>
        <w:tc>
          <w:tcPr>
            <w:tcW w:w="2820" w:type="dxa"/>
            <w:noWrap/>
            <w:hideMark/>
          </w:tcPr>
          <w:p w14:paraId="38118BF0" w14:textId="563F5780" w:rsidR="002C3B86" w:rsidRPr="002C3B86" w:rsidRDefault="002C3B86" w:rsidP="002C3B86">
            <w:pPr>
              <w:spacing w:after="0"/>
              <w:ind w:firstLineChars="100" w:firstLine="200"/>
              <w:cnfStyle w:val="000000010000" w:firstRow="0" w:lastRow="0" w:firstColumn="0" w:lastColumn="0" w:oddVBand="0" w:evenVBand="0" w:oddHBand="0" w:evenHBand="1" w:firstRowFirstColumn="0" w:firstRowLastColumn="0" w:lastRowFirstColumn="0" w:lastRowLastColumn="0"/>
              <w:rPr>
                <w:rFonts w:cs="Calibri"/>
                <w:sz w:val="20"/>
              </w:rPr>
            </w:pPr>
            <w:r w:rsidRPr="002C3B86">
              <w:rPr>
                <w:rFonts w:cs="Calibri"/>
                <w:sz w:val="20"/>
              </w:rPr>
              <w:t>Prince George's County</w:t>
            </w:r>
          </w:p>
        </w:tc>
        <w:tc>
          <w:tcPr>
            <w:tcW w:w="2259" w:type="dxa"/>
          </w:tcPr>
          <w:p w14:paraId="34705FAF" w14:textId="7863990C" w:rsidR="002C3B86" w:rsidRPr="002C3B86" w:rsidRDefault="002C3B86" w:rsidP="004A75F5">
            <w:pPr>
              <w:spacing w:after="0"/>
              <w:ind w:firstLineChars="100" w:firstLine="200"/>
              <w:jc w:val="center"/>
              <w:cnfStyle w:val="000000010000" w:firstRow="0" w:lastRow="0" w:firstColumn="0" w:lastColumn="0" w:oddVBand="0" w:evenVBand="0" w:oddHBand="0" w:evenHBand="1" w:firstRowFirstColumn="0" w:firstRowLastColumn="0" w:lastRowFirstColumn="0" w:lastRowLastColumn="0"/>
              <w:rPr>
                <w:rFonts w:cs="Calibri"/>
                <w:sz w:val="20"/>
              </w:rPr>
            </w:pPr>
            <w:r w:rsidRPr="002C3B86">
              <w:rPr>
                <w:rFonts w:cs="Calibri"/>
                <w:sz w:val="20"/>
              </w:rPr>
              <w:t>47894</w:t>
            </w:r>
          </w:p>
        </w:tc>
      </w:tr>
      <w:tr w:rsidR="002C3B86" w:rsidRPr="002C3B86" w14:paraId="3A0F89A5" w14:textId="1261FCC0" w:rsidTr="004A75F5">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1975" w:type="dxa"/>
            <w:vMerge w:val="restart"/>
            <w:noWrap/>
            <w:hideMark/>
          </w:tcPr>
          <w:p w14:paraId="52FF05E7" w14:textId="77777777" w:rsidR="002C3B86" w:rsidRDefault="002C3B86" w:rsidP="002C3B86">
            <w:pPr>
              <w:spacing w:after="0"/>
              <w:jc w:val="center"/>
              <w:rPr>
                <w:rFonts w:cs="Calibri"/>
                <w:color w:val="000000"/>
                <w:sz w:val="20"/>
              </w:rPr>
            </w:pPr>
            <w:r w:rsidRPr="002C3B86">
              <w:rPr>
                <w:rFonts w:cs="Calibri"/>
                <w:color w:val="000000"/>
                <w:sz w:val="20"/>
              </w:rPr>
              <w:t>MD</w:t>
            </w:r>
            <w:r>
              <w:rPr>
                <w:rFonts w:cs="Calibri"/>
                <w:color w:val="000000"/>
                <w:sz w:val="20"/>
              </w:rPr>
              <w:t>2</w:t>
            </w:r>
          </w:p>
          <w:p w14:paraId="694ECD0C" w14:textId="6E9F55A5" w:rsidR="002C3B86" w:rsidRPr="002C3B86" w:rsidRDefault="002C3B86" w:rsidP="002C3B86">
            <w:pPr>
              <w:spacing w:after="0"/>
              <w:jc w:val="center"/>
              <w:rPr>
                <w:rFonts w:cs="Calibri"/>
                <w:color w:val="000000"/>
                <w:sz w:val="20"/>
              </w:rPr>
            </w:pPr>
            <w:r>
              <w:rPr>
                <w:rFonts w:cs="Calibri"/>
                <w:color w:val="000000"/>
                <w:sz w:val="20"/>
              </w:rPr>
              <w:t>Western MD</w:t>
            </w:r>
          </w:p>
        </w:tc>
        <w:tc>
          <w:tcPr>
            <w:tcW w:w="1885" w:type="dxa"/>
            <w:noWrap/>
            <w:hideMark/>
          </w:tcPr>
          <w:p w14:paraId="7122158F" w14:textId="77777777" w:rsidR="002C3B86" w:rsidRPr="002C3B86" w:rsidRDefault="002C3B86" w:rsidP="002C3B86">
            <w:pPr>
              <w:spacing w:after="0"/>
              <w:jc w:val="center"/>
              <w:cnfStyle w:val="000000100000" w:firstRow="0" w:lastRow="0" w:firstColumn="0" w:lastColumn="0" w:oddVBand="0" w:evenVBand="0" w:oddHBand="1" w:evenHBand="0" w:firstRowFirstColumn="0" w:firstRowLastColumn="0" w:lastRowFirstColumn="0" w:lastRowLastColumn="0"/>
              <w:rPr>
                <w:rFonts w:cs="Calibri"/>
                <w:sz w:val="20"/>
              </w:rPr>
            </w:pPr>
            <w:r w:rsidRPr="002C3B86">
              <w:rPr>
                <w:rFonts w:cs="Calibri"/>
                <w:sz w:val="20"/>
              </w:rPr>
              <w:t>24001</w:t>
            </w:r>
          </w:p>
        </w:tc>
        <w:tc>
          <w:tcPr>
            <w:tcW w:w="2820" w:type="dxa"/>
            <w:noWrap/>
            <w:hideMark/>
          </w:tcPr>
          <w:p w14:paraId="43A207BC" w14:textId="74217532" w:rsidR="002C3B86" w:rsidRPr="002C3B86" w:rsidRDefault="002C3B86" w:rsidP="002C3B86">
            <w:pPr>
              <w:spacing w:after="0"/>
              <w:ind w:firstLineChars="100" w:firstLine="200"/>
              <w:cnfStyle w:val="000000100000" w:firstRow="0" w:lastRow="0" w:firstColumn="0" w:lastColumn="0" w:oddVBand="0" w:evenVBand="0" w:oddHBand="1" w:evenHBand="0" w:firstRowFirstColumn="0" w:firstRowLastColumn="0" w:lastRowFirstColumn="0" w:lastRowLastColumn="0"/>
              <w:rPr>
                <w:rFonts w:cs="Calibri"/>
                <w:sz w:val="20"/>
              </w:rPr>
            </w:pPr>
            <w:r w:rsidRPr="002C3B86">
              <w:rPr>
                <w:rFonts w:cs="Calibri"/>
                <w:sz w:val="20"/>
              </w:rPr>
              <w:t>Allegany County</w:t>
            </w:r>
          </w:p>
        </w:tc>
        <w:tc>
          <w:tcPr>
            <w:tcW w:w="2259" w:type="dxa"/>
          </w:tcPr>
          <w:p w14:paraId="455C3643" w14:textId="1FF34E02" w:rsidR="002C3B86" w:rsidRPr="002C3B86" w:rsidRDefault="002C3B86" w:rsidP="004A75F5">
            <w:pPr>
              <w:spacing w:after="0"/>
              <w:ind w:firstLineChars="100" w:firstLine="200"/>
              <w:jc w:val="center"/>
              <w:cnfStyle w:val="000000100000" w:firstRow="0" w:lastRow="0" w:firstColumn="0" w:lastColumn="0" w:oddVBand="0" w:evenVBand="0" w:oddHBand="1" w:evenHBand="0" w:firstRowFirstColumn="0" w:firstRowLastColumn="0" w:lastRowFirstColumn="0" w:lastRowLastColumn="0"/>
              <w:rPr>
                <w:rFonts w:cs="Calibri"/>
                <w:sz w:val="20"/>
              </w:rPr>
            </w:pPr>
            <w:r w:rsidRPr="002C3B86">
              <w:rPr>
                <w:rFonts w:cs="Calibri"/>
                <w:color w:val="000000"/>
                <w:sz w:val="20"/>
              </w:rPr>
              <w:t>19060</w:t>
            </w:r>
          </w:p>
        </w:tc>
      </w:tr>
      <w:tr w:rsidR="002C3B86" w:rsidRPr="002C3B86" w14:paraId="4EEAAFFA" w14:textId="6BF1E0EA" w:rsidTr="004A75F5">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975" w:type="dxa"/>
            <w:vMerge/>
            <w:hideMark/>
          </w:tcPr>
          <w:p w14:paraId="01204A53" w14:textId="77777777" w:rsidR="002C3B86" w:rsidRPr="002C3B86" w:rsidRDefault="002C3B86" w:rsidP="002C3B86">
            <w:pPr>
              <w:spacing w:after="0"/>
              <w:rPr>
                <w:rFonts w:cs="Calibri"/>
                <w:color w:val="000000"/>
                <w:sz w:val="20"/>
              </w:rPr>
            </w:pPr>
          </w:p>
        </w:tc>
        <w:tc>
          <w:tcPr>
            <w:tcW w:w="1885" w:type="dxa"/>
            <w:noWrap/>
            <w:hideMark/>
          </w:tcPr>
          <w:p w14:paraId="1BE81503" w14:textId="77777777" w:rsidR="002C3B86" w:rsidRPr="002C3B86" w:rsidRDefault="002C3B86" w:rsidP="002C3B86">
            <w:pPr>
              <w:spacing w:after="0"/>
              <w:jc w:val="center"/>
              <w:cnfStyle w:val="000000010000" w:firstRow="0" w:lastRow="0" w:firstColumn="0" w:lastColumn="0" w:oddVBand="0" w:evenVBand="0" w:oddHBand="0" w:evenHBand="1" w:firstRowFirstColumn="0" w:firstRowLastColumn="0" w:lastRowFirstColumn="0" w:lastRowLastColumn="0"/>
              <w:rPr>
                <w:rFonts w:cs="Calibri"/>
                <w:sz w:val="20"/>
              </w:rPr>
            </w:pPr>
            <w:r w:rsidRPr="002C3B86">
              <w:rPr>
                <w:rFonts w:cs="Calibri"/>
                <w:sz w:val="20"/>
              </w:rPr>
              <w:t>24023</w:t>
            </w:r>
          </w:p>
        </w:tc>
        <w:tc>
          <w:tcPr>
            <w:tcW w:w="2820" w:type="dxa"/>
            <w:noWrap/>
            <w:hideMark/>
          </w:tcPr>
          <w:p w14:paraId="317ACBD6" w14:textId="4299F1CE" w:rsidR="002C3B86" w:rsidRPr="002C3B86" w:rsidRDefault="002C3B86" w:rsidP="002C3B86">
            <w:pPr>
              <w:spacing w:after="0"/>
              <w:ind w:firstLineChars="100" w:firstLine="200"/>
              <w:cnfStyle w:val="000000010000" w:firstRow="0" w:lastRow="0" w:firstColumn="0" w:lastColumn="0" w:oddVBand="0" w:evenVBand="0" w:oddHBand="0" w:evenHBand="1" w:firstRowFirstColumn="0" w:firstRowLastColumn="0" w:lastRowFirstColumn="0" w:lastRowLastColumn="0"/>
              <w:rPr>
                <w:rFonts w:cs="Calibri"/>
                <w:sz w:val="20"/>
              </w:rPr>
            </w:pPr>
            <w:r w:rsidRPr="002C3B86">
              <w:rPr>
                <w:rFonts w:cs="Calibri"/>
                <w:sz w:val="20"/>
              </w:rPr>
              <w:t>Garrett</w:t>
            </w:r>
          </w:p>
        </w:tc>
        <w:tc>
          <w:tcPr>
            <w:tcW w:w="2259" w:type="dxa"/>
          </w:tcPr>
          <w:p w14:paraId="2B44931A" w14:textId="540464E3" w:rsidR="002C3B86" w:rsidRPr="002C3B86" w:rsidRDefault="002C3B86" w:rsidP="004A75F5">
            <w:pPr>
              <w:spacing w:after="0"/>
              <w:ind w:firstLineChars="100" w:firstLine="200"/>
              <w:jc w:val="center"/>
              <w:cnfStyle w:val="000000010000" w:firstRow="0" w:lastRow="0" w:firstColumn="0" w:lastColumn="0" w:oddVBand="0" w:evenVBand="0" w:oddHBand="0" w:evenHBand="1" w:firstRowFirstColumn="0" w:firstRowLastColumn="0" w:lastRowFirstColumn="0" w:lastRowLastColumn="0"/>
              <w:rPr>
                <w:rFonts w:cs="Calibri"/>
                <w:sz w:val="20"/>
              </w:rPr>
            </w:pPr>
            <w:r w:rsidRPr="002C3B86">
              <w:rPr>
                <w:rFonts w:cs="Calibri"/>
                <w:sz w:val="20"/>
              </w:rPr>
              <w:t>Non-MSA</w:t>
            </w:r>
          </w:p>
        </w:tc>
      </w:tr>
      <w:tr w:rsidR="002C3B86" w:rsidRPr="002C3B86" w14:paraId="64EA1E35" w14:textId="0EFB7195" w:rsidTr="004A75F5">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1975" w:type="dxa"/>
            <w:vMerge/>
            <w:hideMark/>
          </w:tcPr>
          <w:p w14:paraId="1C6DDE7E" w14:textId="77777777" w:rsidR="002C3B86" w:rsidRPr="002C3B86" w:rsidRDefault="002C3B86" w:rsidP="002C3B86">
            <w:pPr>
              <w:spacing w:after="0"/>
              <w:rPr>
                <w:rFonts w:cs="Calibri"/>
                <w:color w:val="000000"/>
                <w:sz w:val="20"/>
              </w:rPr>
            </w:pPr>
          </w:p>
        </w:tc>
        <w:tc>
          <w:tcPr>
            <w:tcW w:w="1885" w:type="dxa"/>
            <w:noWrap/>
            <w:hideMark/>
          </w:tcPr>
          <w:p w14:paraId="384C871C" w14:textId="77777777" w:rsidR="002C3B86" w:rsidRPr="002C3B86" w:rsidRDefault="002C3B86" w:rsidP="002C3B86">
            <w:pPr>
              <w:spacing w:after="0"/>
              <w:jc w:val="center"/>
              <w:cnfStyle w:val="000000100000" w:firstRow="0" w:lastRow="0" w:firstColumn="0" w:lastColumn="0" w:oddVBand="0" w:evenVBand="0" w:oddHBand="1" w:evenHBand="0" w:firstRowFirstColumn="0" w:firstRowLastColumn="0" w:lastRowFirstColumn="0" w:lastRowLastColumn="0"/>
              <w:rPr>
                <w:rFonts w:cs="Calibri"/>
                <w:sz w:val="20"/>
              </w:rPr>
            </w:pPr>
            <w:r w:rsidRPr="002C3B86">
              <w:rPr>
                <w:rFonts w:cs="Calibri"/>
                <w:sz w:val="20"/>
              </w:rPr>
              <w:t>24043</w:t>
            </w:r>
          </w:p>
        </w:tc>
        <w:tc>
          <w:tcPr>
            <w:tcW w:w="2820" w:type="dxa"/>
            <w:noWrap/>
            <w:hideMark/>
          </w:tcPr>
          <w:p w14:paraId="6AE817E8" w14:textId="26DE4261" w:rsidR="002C3B86" w:rsidRPr="002C3B86" w:rsidRDefault="002C3B86" w:rsidP="002C3B86">
            <w:pPr>
              <w:spacing w:after="0"/>
              <w:ind w:firstLineChars="100" w:firstLine="200"/>
              <w:cnfStyle w:val="000000100000" w:firstRow="0" w:lastRow="0" w:firstColumn="0" w:lastColumn="0" w:oddVBand="0" w:evenVBand="0" w:oddHBand="1" w:evenHBand="0" w:firstRowFirstColumn="0" w:firstRowLastColumn="0" w:lastRowFirstColumn="0" w:lastRowLastColumn="0"/>
              <w:rPr>
                <w:rFonts w:cs="Calibri"/>
                <w:sz w:val="20"/>
              </w:rPr>
            </w:pPr>
            <w:r w:rsidRPr="002C3B86">
              <w:rPr>
                <w:rFonts w:cs="Calibri"/>
                <w:sz w:val="20"/>
              </w:rPr>
              <w:t>Washington County</w:t>
            </w:r>
          </w:p>
        </w:tc>
        <w:tc>
          <w:tcPr>
            <w:tcW w:w="2259" w:type="dxa"/>
          </w:tcPr>
          <w:p w14:paraId="2E90021D" w14:textId="479F4137" w:rsidR="002C3B86" w:rsidRPr="002C3B86" w:rsidRDefault="002C3B86" w:rsidP="004A75F5">
            <w:pPr>
              <w:spacing w:after="0"/>
              <w:ind w:firstLineChars="100" w:firstLine="200"/>
              <w:jc w:val="center"/>
              <w:cnfStyle w:val="000000100000" w:firstRow="0" w:lastRow="0" w:firstColumn="0" w:lastColumn="0" w:oddVBand="0" w:evenVBand="0" w:oddHBand="1" w:evenHBand="0" w:firstRowFirstColumn="0" w:firstRowLastColumn="0" w:lastRowFirstColumn="0" w:lastRowLastColumn="0"/>
              <w:rPr>
                <w:rFonts w:cs="Calibri"/>
                <w:sz w:val="20"/>
              </w:rPr>
            </w:pPr>
            <w:r w:rsidRPr="002C3B86">
              <w:rPr>
                <w:rFonts w:cs="Calibri"/>
                <w:sz w:val="20"/>
              </w:rPr>
              <w:t>25180</w:t>
            </w:r>
          </w:p>
        </w:tc>
      </w:tr>
      <w:tr w:rsidR="002C3B86" w:rsidRPr="002C3B86" w14:paraId="59F97F22" w14:textId="5CC386DF" w:rsidTr="004A75F5">
        <w:trPr>
          <w:cnfStyle w:val="000000010000" w:firstRow="0" w:lastRow="0" w:firstColumn="0" w:lastColumn="0" w:oddVBand="0" w:evenVBand="0" w:oddHBand="0" w:evenHBand="1" w:firstRowFirstColumn="0" w:firstRowLastColumn="0" w:lastRowFirstColumn="0" w:lastRowLastColumn="0"/>
          <w:trHeight w:val="260"/>
          <w:jc w:val="center"/>
        </w:trPr>
        <w:tc>
          <w:tcPr>
            <w:cnfStyle w:val="001000000000" w:firstRow="0" w:lastRow="0" w:firstColumn="1" w:lastColumn="0" w:oddVBand="0" w:evenVBand="0" w:oddHBand="0" w:evenHBand="0" w:firstRowFirstColumn="0" w:firstRowLastColumn="0" w:lastRowFirstColumn="0" w:lastRowLastColumn="0"/>
            <w:tcW w:w="1975" w:type="dxa"/>
            <w:vMerge w:val="restart"/>
            <w:noWrap/>
            <w:hideMark/>
          </w:tcPr>
          <w:p w14:paraId="78EA5003" w14:textId="77777777" w:rsidR="002C3B86" w:rsidRDefault="002C3B86" w:rsidP="002C3B86">
            <w:pPr>
              <w:spacing w:after="0"/>
              <w:jc w:val="center"/>
              <w:rPr>
                <w:rFonts w:cs="Calibri"/>
                <w:color w:val="000000"/>
                <w:sz w:val="20"/>
              </w:rPr>
            </w:pPr>
            <w:r w:rsidRPr="002C3B86">
              <w:rPr>
                <w:rFonts w:cs="Calibri"/>
                <w:color w:val="000000"/>
                <w:sz w:val="20"/>
              </w:rPr>
              <w:t>MD</w:t>
            </w:r>
            <w:r>
              <w:rPr>
                <w:rFonts w:cs="Calibri"/>
                <w:color w:val="000000"/>
                <w:sz w:val="20"/>
              </w:rPr>
              <w:t>3</w:t>
            </w:r>
          </w:p>
          <w:p w14:paraId="0495CC12" w14:textId="175E8418" w:rsidR="002C3B86" w:rsidRPr="002C3B86" w:rsidRDefault="002C3B86" w:rsidP="002C3B86">
            <w:pPr>
              <w:spacing w:after="0"/>
              <w:jc w:val="center"/>
              <w:rPr>
                <w:rFonts w:cs="Calibri"/>
                <w:color w:val="000000"/>
                <w:sz w:val="20"/>
              </w:rPr>
            </w:pPr>
            <w:r>
              <w:rPr>
                <w:rFonts w:cs="Calibri"/>
                <w:color w:val="000000"/>
                <w:sz w:val="20"/>
              </w:rPr>
              <w:t>Eastern Shore</w:t>
            </w:r>
          </w:p>
        </w:tc>
        <w:tc>
          <w:tcPr>
            <w:tcW w:w="1885" w:type="dxa"/>
            <w:noWrap/>
            <w:hideMark/>
          </w:tcPr>
          <w:p w14:paraId="1F08395C" w14:textId="77777777" w:rsidR="002C3B86" w:rsidRPr="002C3B86" w:rsidRDefault="002C3B86" w:rsidP="002C3B86">
            <w:pPr>
              <w:spacing w:after="0"/>
              <w:jc w:val="center"/>
              <w:cnfStyle w:val="000000010000" w:firstRow="0" w:lastRow="0" w:firstColumn="0" w:lastColumn="0" w:oddVBand="0" w:evenVBand="0" w:oddHBand="0" w:evenHBand="1" w:firstRowFirstColumn="0" w:firstRowLastColumn="0" w:lastRowFirstColumn="0" w:lastRowLastColumn="0"/>
              <w:rPr>
                <w:rFonts w:cs="Calibri"/>
                <w:sz w:val="20"/>
              </w:rPr>
            </w:pPr>
            <w:r w:rsidRPr="002C3B86">
              <w:rPr>
                <w:rFonts w:cs="Calibri"/>
                <w:sz w:val="20"/>
              </w:rPr>
              <w:t>24011</w:t>
            </w:r>
          </w:p>
        </w:tc>
        <w:tc>
          <w:tcPr>
            <w:tcW w:w="2820" w:type="dxa"/>
            <w:noWrap/>
            <w:hideMark/>
          </w:tcPr>
          <w:p w14:paraId="198D3A12" w14:textId="37A55536" w:rsidR="002C3B86" w:rsidRPr="002C3B86" w:rsidRDefault="002C3B86" w:rsidP="002C3B86">
            <w:pPr>
              <w:spacing w:after="0"/>
              <w:ind w:firstLineChars="100" w:firstLine="200"/>
              <w:cnfStyle w:val="000000010000" w:firstRow="0" w:lastRow="0" w:firstColumn="0" w:lastColumn="0" w:oddVBand="0" w:evenVBand="0" w:oddHBand="0" w:evenHBand="1" w:firstRowFirstColumn="0" w:firstRowLastColumn="0" w:lastRowFirstColumn="0" w:lastRowLastColumn="0"/>
              <w:rPr>
                <w:rFonts w:cs="Calibri"/>
                <w:sz w:val="20"/>
              </w:rPr>
            </w:pPr>
            <w:r w:rsidRPr="002C3B86">
              <w:rPr>
                <w:rFonts w:cs="Calibri"/>
                <w:sz w:val="20"/>
              </w:rPr>
              <w:t>Caroline</w:t>
            </w:r>
          </w:p>
        </w:tc>
        <w:tc>
          <w:tcPr>
            <w:tcW w:w="2259" w:type="dxa"/>
          </w:tcPr>
          <w:p w14:paraId="592D2042" w14:textId="4395B246" w:rsidR="002C3B86" w:rsidRPr="002C3B86" w:rsidRDefault="002C3B86" w:rsidP="004A75F5">
            <w:pPr>
              <w:spacing w:after="0"/>
              <w:ind w:firstLineChars="100" w:firstLine="200"/>
              <w:jc w:val="center"/>
              <w:cnfStyle w:val="000000010000" w:firstRow="0" w:lastRow="0" w:firstColumn="0" w:lastColumn="0" w:oddVBand="0" w:evenVBand="0" w:oddHBand="0" w:evenHBand="1" w:firstRowFirstColumn="0" w:firstRowLastColumn="0" w:lastRowFirstColumn="0" w:lastRowLastColumn="0"/>
              <w:rPr>
                <w:rFonts w:cs="Calibri"/>
                <w:sz w:val="20"/>
              </w:rPr>
            </w:pPr>
            <w:r w:rsidRPr="002C3B86">
              <w:rPr>
                <w:rFonts w:cs="Calibri"/>
                <w:sz w:val="20"/>
              </w:rPr>
              <w:t>Non-MSA</w:t>
            </w:r>
          </w:p>
        </w:tc>
      </w:tr>
      <w:tr w:rsidR="002C3B86" w:rsidRPr="002C3B86" w14:paraId="521DD4D2" w14:textId="028946BE" w:rsidTr="004A75F5">
        <w:trPr>
          <w:cnfStyle w:val="000000100000" w:firstRow="0" w:lastRow="0" w:firstColumn="0" w:lastColumn="0" w:oddVBand="0" w:evenVBand="0" w:oddHBand="1" w:evenHBand="0" w:firstRowFirstColumn="0" w:firstRowLastColumn="0" w:lastRowFirstColumn="0" w:lastRowLastColumn="0"/>
          <w:trHeight w:val="260"/>
          <w:jc w:val="center"/>
        </w:trPr>
        <w:tc>
          <w:tcPr>
            <w:cnfStyle w:val="001000000000" w:firstRow="0" w:lastRow="0" w:firstColumn="1" w:lastColumn="0" w:oddVBand="0" w:evenVBand="0" w:oddHBand="0" w:evenHBand="0" w:firstRowFirstColumn="0" w:firstRowLastColumn="0" w:lastRowFirstColumn="0" w:lastRowLastColumn="0"/>
            <w:tcW w:w="1975" w:type="dxa"/>
            <w:vMerge/>
            <w:hideMark/>
          </w:tcPr>
          <w:p w14:paraId="538F16D7" w14:textId="77777777" w:rsidR="002C3B86" w:rsidRPr="002C3B86" w:rsidRDefault="002C3B86" w:rsidP="002C3B86">
            <w:pPr>
              <w:spacing w:after="0"/>
              <w:rPr>
                <w:rFonts w:cs="Calibri"/>
                <w:color w:val="000000"/>
                <w:sz w:val="20"/>
              </w:rPr>
            </w:pPr>
          </w:p>
        </w:tc>
        <w:tc>
          <w:tcPr>
            <w:tcW w:w="1885" w:type="dxa"/>
            <w:noWrap/>
            <w:hideMark/>
          </w:tcPr>
          <w:p w14:paraId="526D76F1" w14:textId="77777777" w:rsidR="002C3B86" w:rsidRPr="002C3B86" w:rsidRDefault="002C3B86" w:rsidP="002C3B86">
            <w:pPr>
              <w:spacing w:after="0"/>
              <w:jc w:val="center"/>
              <w:cnfStyle w:val="000000100000" w:firstRow="0" w:lastRow="0" w:firstColumn="0" w:lastColumn="0" w:oddVBand="0" w:evenVBand="0" w:oddHBand="1" w:evenHBand="0" w:firstRowFirstColumn="0" w:firstRowLastColumn="0" w:lastRowFirstColumn="0" w:lastRowLastColumn="0"/>
              <w:rPr>
                <w:rFonts w:cs="Calibri"/>
                <w:sz w:val="20"/>
              </w:rPr>
            </w:pPr>
            <w:r w:rsidRPr="002C3B86">
              <w:rPr>
                <w:rFonts w:cs="Calibri"/>
                <w:sz w:val="20"/>
              </w:rPr>
              <w:t>24019</w:t>
            </w:r>
          </w:p>
        </w:tc>
        <w:tc>
          <w:tcPr>
            <w:tcW w:w="2820" w:type="dxa"/>
            <w:noWrap/>
            <w:hideMark/>
          </w:tcPr>
          <w:p w14:paraId="4C78D205" w14:textId="5CC2C784" w:rsidR="002C3B86" w:rsidRPr="002C3B86" w:rsidRDefault="002C3B86" w:rsidP="002C3B86">
            <w:pPr>
              <w:spacing w:after="0"/>
              <w:ind w:firstLineChars="100" w:firstLine="200"/>
              <w:cnfStyle w:val="000000100000" w:firstRow="0" w:lastRow="0" w:firstColumn="0" w:lastColumn="0" w:oddVBand="0" w:evenVBand="0" w:oddHBand="1" w:evenHBand="0" w:firstRowFirstColumn="0" w:firstRowLastColumn="0" w:lastRowFirstColumn="0" w:lastRowLastColumn="0"/>
              <w:rPr>
                <w:rFonts w:cs="Calibri"/>
                <w:sz w:val="20"/>
              </w:rPr>
            </w:pPr>
            <w:r w:rsidRPr="002C3B86">
              <w:rPr>
                <w:rFonts w:cs="Calibri"/>
                <w:sz w:val="20"/>
              </w:rPr>
              <w:t>Dorchester</w:t>
            </w:r>
          </w:p>
        </w:tc>
        <w:tc>
          <w:tcPr>
            <w:tcW w:w="2259" w:type="dxa"/>
          </w:tcPr>
          <w:p w14:paraId="0A1D2EFC" w14:textId="60E4F25B" w:rsidR="002C3B86" w:rsidRPr="002C3B86" w:rsidRDefault="002C3B86" w:rsidP="004A75F5">
            <w:pPr>
              <w:spacing w:after="0"/>
              <w:ind w:firstLineChars="100" w:firstLine="200"/>
              <w:jc w:val="center"/>
              <w:cnfStyle w:val="000000100000" w:firstRow="0" w:lastRow="0" w:firstColumn="0" w:lastColumn="0" w:oddVBand="0" w:evenVBand="0" w:oddHBand="1" w:evenHBand="0" w:firstRowFirstColumn="0" w:firstRowLastColumn="0" w:lastRowFirstColumn="0" w:lastRowLastColumn="0"/>
              <w:rPr>
                <w:rFonts w:cs="Calibri"/>
                <w:sz w:val="20"/>
              </w:rPr>
            </w:pPr>
            <w:r w:rsidRPr="002C3B86">
              <w:rPr>
                <w:rFonts w:cs="Calibri"/>
                <w:sz w:val="20"/>
              </w:rPr>
              <w:t>Non-MSA</w:t>
            </w:r>
          </w:p>
        </w:tc>
      </w:tr>
      <w:tr w:rsidR="002C3B86" w:rsidRPr="002C3B86" w14:paraId="3B4F5810" w14:textId="25639A11" w:rsidTr="004A75F5">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975" w:type="dxa"/>
            <w:vMerge/>
            <w:hideMark/>
          </w:tcPr>
          <w:p w14:paraId="5D7A4F4F" w14:textId="77777777" w:rsidR="002C3B86" w:rsidRPr="002C3B86" w:rsidRDefault="002C3B86" w:rsidP="002C3B86">
            <w:pPr>
              <w:spacing w:after="0"/>
              <w:rPr>
                <w:rFonts w:cs="Calibri"/>
                <w:color w:val="000000"/>
                <w:sz w:val="20"/>
              </w:rPr>
            </w:pPr>
          </w:p>
        </w:tc>
        <w:tc>
          <w:tcPr>
            <w:tcW w:w="1885" w:type="dxa"/>
            <w:noWrap/>
            <w:hideMark/>
          </w:tcPr>
          <w:p w14:paraId="410FE5BC" w14:textId="77777777" w:rsidR="002C3B86" w:rsidRPr="002C3B86" w:rsidRDefault="002C3B86" w:rsidP="002C3B86">
            <w:pPr>
              <w:spacing w:after="0"/>
              <w:jc w:val="center"/>
              <w:cnfStyle w:val="000000010000" w:firstRow="0" w:lastRow="0" w:firstColumn="0" w:lastColumn="0" w:oddVBand="0" w:evenVBand="0" w:oddHBand="0" w:evenHBand="1" w:firstRowFirstColumn="0" w:firstRowLastColumn="0" w:lastRowFirstColumn="0" w:lastRowLastColumn="0"/>
              <w:rPr>
                <w:rFonts w:cs="Calibri"/>
                <w:sz w:val="20"/>
              </w:rPr>
            </w:pPr>
            <w:r w:rsidRPr="002C3B86">
              <w:rPr>
                <w:rFonts w:cs="Calibri"/>
                <w:sz w:val="20"/>
              </w:rPr>
              <w:t>24029</w:t>
            </w:r>
          </w:p>
        </w:tc>
        <w:tc>
          <w:tcPr>
            <w:tcW w:w="2820" w:type="dxa"/>
            <w:noWrap/>
            <w:hideMark/>
          </w:tcPr>
          <w:p w14:paraId="19ED2FCC" w14:textId="376CF70F" w:rsidR="002C3B86" w:rsidRPr="002C3B86" w:rsidRDefault="002C3B86" w:rsidP="002C3B86">
            <w:pPr>
              <w:spacing w:after="0"/>
              <w:ind w:firstLineChars="100" w:firstLine="200"/>
              <w:cnfStyle w:val="000000010000" w:firstRow="0" w:lastRow="0" w:firstColumn="0" w:lastColumn="0" w:oddVBand="0" w:evenVBand="0" w:oddHBand="0" w:evenHBand="1" w:firstRowFirstColumn="0" w:firstRowLastColumn="0" w:lastRowFirstColumn="0" w:lastRowLastColumn="0"/>
              <w:rPr>
                <w:rFonts w:cs="Calibri"/>
                <w:sz w:val="20"/>
              </w:rPr>
            </w:pPr>
            <w:r w:rsidRPr="002C3B86">
              <w:rPr>
                <w:rFonts w:cs="Calibri"/>
                <w:sz w:val="20"/>
              </w:rPr>
              <w:t>Kent</w:t>
            </w:r>
          </w:p>
        </w:tc>
        <w:tc>
          <w:tcPr>
            <w:tcW w:w="2259" w:type="dxa"/>
          </w:tcPr>
          <w:p w14:paraId="4A28171E" w14:textId="4A327F79" w:rsidR="002C3B86" w:rsidRPr="002C3B86" w:rsidRDefault="002C3B86" w:rsidP="004A75F5">
            <w:pPr>
              <w:spacing w:after="0"/>
              <w:ind w:firstLineChars="100" w:firstLine="200"/>
              <w:jc w:val="center"/>
              <w:cnfStyle w:val="000000010000" w:firstRow="0" w:lastRow="0" w:firstColumn="0" w:lastColumn="0" w:oddVBand="0" w:evenVBand="0" w:oddHBand="0" w:evenHBand="1" w:firstRowFirstColumn="0" w:firstRowLastColumn="0" w:lastRowFirstColumn="0" w:lastRowLastColumn="0"/>
              <w:rPr>
                <w:rFonts w:cs="Calibri"/>
                <w:sz w:val="20"/>
              </w:rPr>
            </w:pPr>
            <w:r w:rsidRPr="002C3B86">
              <w:rPr>
                <w:rFonts w:cs="Calibri"/>
                <w:sz w:val="20"/>
              </w:rPr>
              <w:t>Non-MSA</w:t>
            </w:r>
          </w:p>
        </w:tc>
      </w:tr>
      <w:tr w:rsidR="002C3B86" w:rsidRPr="002C3B86" w14:paraId="3896FF41" w14:textId="7DBE9C06" w:rsidTr="004A75F5">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975" w:type="dxa"/>
            <w:vMerge/>
            <w:hideMark/>
          </w:tcPr>
          <w:p w14:paraId="6DF22511" w14:textId="77777777" w:rsidR="002C3B86" w:rsidRPr="002C3B86" w:rsidRDefault="002C3B86" w:rsidP="002C3B86">
            <w:pPr>
              <w:spacing w:after="0"/>
              <w:rPr>
                <w:rFonts w:cs="Calibri"/>
                <w:color w:val="000000"/>
                <w:sz w:val="20"/>
              </w:rPr>
            </w:pPr>
          </w:p>
        </w:tc>
        <w:tc>
          <w:tcPr>
            <w:tcW w:w="1885" w:type="dxa"/>
            <w:noWrap/>
            <w:hideMark/>
          </w:tcPr>
          <w:p w14:paraId="707AF542" w14:textId="77777777" w:rsidR="002C3B86" w:rsidRPr="002C3B86" w:rsidRDefault="002C3B86" w:rsidP="002C3B86">
            <w:pPr>
              <w:spacing w:after="0"/>
              <w:jc w:val="center"/>
              <w:cnfStyle w:val="000000100000" w:firstRow="0" w:lastRow="0" w:firstColumn="0" w:lastColumn="0" w:oddVBand="0" w:evenVBand="0" w:oddHBand="1" w:evenHBand="0" w:firstRowFirstColumn="0" w:firstRowLastColumn="0" w:lastRowFirstColumn="0" w:lastRowLastColumn="0"/>
              <w:rPr>
                <w:rFonts w:cs="Calibri"/>
                <w:sz w:val="20"/>
              </w:rPr>
            </w:pPr>
            <w:r w:rsidRPr="002C3B86">
              <w:rPr>
                <w:rFonts w:cs="Calibri"/>
                <w:sz w:val="20"/>
              </w:rPr>
              <w:t>24041</w:t>
            </w:r>
          </w:p>
        </w:tc>
        <w:tc>
          <w:tcPr>
            <w:tcW w:w="2820" w:type="dxa"/>
            <w:noWrap/>
            <w:hideMark/>
          </w:tcPr>
          <w:p w14:paraId="381FD765" w14:textId="6A4EC7B3" w:rsidR="002C3B86" w:rsidRPr="002C3B86" w:rsidRDefault="002C3B86" w:rsidP="002C3B86">
            <w:pPr>
              <w:spacing w:after="0"/>
              <w:ind w:firstLineChars="100" w:firstLine="200"/>
              <w:cnfStyle w:val="000000100000" w:firstRow="0" w:lastRow="0" w:firstColumn="0" w:lastColumn="0" w:oddVBand="0" w:evenVBand="0" w:oddHBand="1" w:evenHBand="0" w:firstRowFirstColumn="0" w:firstRowLastColumn="0" w:lastRowFirstColumn="0" w:lastRowLastColumn="0"/>
              <w:rPr>
                <w:rFonts w:cs="Calibri"/>
                <w:sz w:val="20"/>
              </w:rPr>
            </w:pPr>
            <w:r w:rsidRPr="002C3B86">
              <w:rPr>
                <w:rFonts w:cs="Calibri"/>
                <w:sz w:val="20"/>
              </w:rPr>
              <w:t>Talbot</w:t>
            </w:r>
          </w:p>
        </w:tc>
        <w:tc>
          <w:tcPr>
            <w:tcW w:w="2259" w:type="dxa"/>
          </w:tcPr>
          <w:p w14:paraId="7CBF2511" w14:textId="0E512CD0" w:rsidR="002C3B86" w:rsidRPr="002C3B86" w:rsidRDefault="002C3B86" w:rsidP="004A75F5">
            <w:pPr>
              <w:spacing w:after="0"/>
              <w:ind w:firstLineChars="100" w:firstLine="200"/>
              <w:jc w:val="center"/>
              <w:cnfStyle w:val="000000100000" w:firstRow="0" w:lastRow="0" w:firstColumn="0" w:lastColumn="0" w:oddVBand="0" w:evenVBand="0" w:oddHBand="1" w:evenHBand="0" w:firstRowFirstColumn="0" w:firstRowLastColumn="0" w:lastRowFirstColumn="0" w:lastRowLastColumn="0"/>
              <w:rPr>
                <w:rFonts w:cs="Calibri"/>
                <w:sz w:val="20"/>
              </w:rPr>
            </w:pPr>
            <w:r w:rsidRPr="002C3B86">
              <w:rPr>
                <w:rFonts w:cs="Calibri"/>
                <w:sz w:val="20"/>
              </w:rPr>
              <w:t>Non-MSA</w:t>
            </w:r>
          </w:p>
        </w:tc>
      </w:tr>
      <w:tr w:rsidR="002C3B86" w:rsidRPr="002C3B86" w14:paraId="1B87F03A" w14:textId="589BFA47" w:rsidTr="004A75F5">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975" w:type="dxa"/>
            <w:vMerge/>
            <w:hideMark/>
          </w:tcPr>
          <w:p w14:paraId="13CB37FC" w14:textId="77777777" w:rsidR="002C3B86" w:rsidRPr="002C3B86" w:rsidRDefault="002C3B86" w:rsidP="002C3B86">
            <w:pPr>
              <w:spacing w:after="0"/>
              <w:rPr>
                <w:rFonts w:cs="Calibri"/>
                <w:color w:val="000000"/>
                <w:sz w:val="20"/>
              </w:rPr>
            </w:pPr>
          </w:p>
        </w:tc>
        <w:tc>
          <w:tcPr>
            <w:tcW w:w="1885" w:type="dxa"/>
            <w:noWrap/>
            <w:hideMark/>
          </w:tcPr>
          <w:p w14:paraId="14056F90" w14:textId="77777777" w:rsidR="002C3B86" w:rsidRPr="002C3B86" w:rsidRDefault="002C3B86" w:rsidP="002C3B86">
            <w:pPr>
              <w:spacing w:after="0"/>
              <w:jc w:val="center"/>
              <w:cnfStyle w:val="000000010000" w:firstRow="0" w:lastRow="0" w:firstColumn="0" w:lastColumn="0" w:oddVBand="0" w:evenVBand="0" w:oddHBand="0" w:evenHBand="1" w:firstRowFirstColumn="0" w:firstRowLastColumn="0" w:lastRowFirstColumn="0" w:lastRowLastColumn="0"/>
              <w:rPr>
                <w:rFonts w:cs="Calibri"/>
                <w:sz w:val="20"/>
              </w:rPr>
            </w:pPr>
            <w:r w:rsidRPr="002C3B86">
              <w:rPr>
                <w:rFonts w:cs="Calibri"/>
                <w:sz w:val="20"/>
              </w:rPr>
              <w:t>24035</w:t>
            </w:r>
          </w:p>
        </w:tc>
        <w:tc>
          <w:tcPr>
            <w:tcW w:w="2820" w:type="dxa"/>
            <w:noWrap/>
            <w:hideMark/>
          </w:tcPr>
          <w:p w14:paraId="2F95A92D" w14:textId="6B500247" w:rsidR="002C3B86" w:rsidRPr="002C3B86" w:rsidRDefault="002C3B86" w:rsidP="002C3B86">
            <w:pPr>
              <w:spacing w:after="0"/>
              <w:ind w:firstLineChars="100" w:firstLine="200"/>
              <w:cnfStyle w:val="000000010000" w:firstRow="0" w:lastRow="0" w:firstColumn="0" w:lastColumn="0" w:oddVBand="0" w:evenVBand="0" w:oddHBand="0" w:evenHBand="1" w:firstRowFirstColumn="0" w:firstRowLastColumn="0" w:lastRowFirstColumn="0" w:lastRowLastColumn="0"/>
              <w:rPr>
                <w:rFonts w:cs="Calibri"/>
                <w:sz w:val="20"/>
              </w:rPr>
            </w:pPr>
            <w:r w:rsidRPr="002C3B86">
              <w:rPr>
                <w:rFonts w:cs="Calibri"/>
                <w:sz w:val="20"/>
              </w:rPr>
              <w:t>Queen Anne's County</w:t>
            </w:r>
          </w:p>
        </w:tc>
        <w:tc>
          <w:tcPr>
            <w:tcW w:w="2259" w:type="dxa"/>
          </w:tcPr>
          <w:p w14:paraId="664AEDE2" w14:textId="5B30D199" w:rsidR="002C3B86" w:rsidRPr="002C3B86" w:rsidRDefault="002C3B86" w:rsidP="004A75F5">
            <w:pPr>
              <w:spacing w:after="0"/>
              <w:ind w:firstLineChars="100" w:firstLine="200"/>
              <w:jc w:val="center"/>
              <w:cnfStyle w:val="000000010000" w:firstRow="0" w:lastRow="0" w:firstColumn="0" w:lastColumn="0" w:oddVBand="0" w:evenVBand="0" w:oddHBand="0" w:evenHBand="1" w:firstRowFirstColumn="0" w:firstRowLastColumn="0" w:lastRowFirstColumn="0" w:lastRowLastColumn="0"/>
              <w:rPr>
                <w:rFonts w:cs="Calibri"/>
                <w:sz w:val="20"/>
              </w:rPr>
            </w:pPr>
            <w:r w:rsidRPr="002C3B86">
              <w:rPr>
                <w:rFonts w:cs="Calibri"/>
                <w:sz w:val="20"/>
              </w:rPr>
              <w:t>12580</w:t>
            </w:r>
          </w:p>
        </w:tc>
      </w:tr>
      <w:tr w:rsidR="002C3B86" w:rsidRPr="002C3B86" w14:paraId="11B563A2" w14:textId="2F366C2C" w:rsidTr="004A75F5">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975" w:type="dxa"/>
            <w:vMerge/>
            <w:hideMark/>
          </w:tcPr>
          <w:p w14:paraId="4917A27C" w14:textId="77777777" w:rsidR="002C3B86" w:rsidRPr="002C3B86" w:rsidRDefault="002C3B86" w:rsidP="002C3B86">
            <w:pPr>
              <w:spacing w:after="0"/>
              <w:rPr>
                <w:rFonts w:cs="Calibri"/>
                <w:color w:val="000000"/>
                <w:sz w:val="20"/>
              </w:rPr>
            </w:pPr>
          </w:p>
        </w:tc>
        <w:tc>
          <w:tcPr>
            <w:tcW w:w="1885" w:type="dxa"/>
            <w:noWrap/>
            <w:hideMark/>
          </w:tcPr>
          <w:p w14:paraId="51A07A75" w14:textId="77777777" w:rsidR="002C3B86" w:rsidRPr="002C3B86" w:rsidRDefault="002C3B86" w:rsidP="002C3B86">
            <w:pPr>
              <w:spacing w:after="0"/>
              <w:jc w:val="center"/>
              <w:cnfStyle w:val="000000100000" w:firstRow="0" w:lastRow="0" w:firstColumn="0" w:lastColumn="0" w:oddVBand="0" w:evenVBand="0" w:oddHBand="1" w:evenHBand="0" w:firstRowFirstColumn="0" w:firstRowLastColumn="0" w:lastRowFirstColumn="0" w:lastRowLastColumn="0"/>
              <w:rPr>
                <w:rFonts w:cs="Calibri"/>
                <w:sz w:val="20"/>
              </w:rPr>
            </w:pPr>
            <w:r w:rsidRPr="002C3B86">
              <w:rPr>
                <w:rFonts w:cs="Calibri"/>
                <w:sz w:val="20"/>
              </w:rPr>
              <w:t>24039</w:t>
            </w:r>
          </w:p>
        </w:tc>
        <w:tc>
          <w:tcPr>
            <w:tcW w:w="2820" w:type="dxa"/>
            <w:noWrap/>
            <w:hideMark/>
          </w:tcPr>
          <w:p w14:paraId="1486C80D" w14:textId="77745F57" w:rsidR="002C3B86" w:rsidRPr="002C3B86" w:rsidRDefault="002C3B86" w:rsidP="002C3B86">
            <w:pPr>
              <w:spacing w:after="0"/>
              <w:ind w:firstLineChars="100" w:firstLine="200"/>
              <w:cnfStyle w:val="000000100000" w:firstRow="0" w:lastRow="0" w:firstColumn="0" w:lastColumn="0" w:oddVBand="0" w:evenVBand="0" w:oddHBand="1" w:evenHBand="0" w:firstRowFirstColumn="0" w:firstRowLastColumn="0" w:lastRowFirstColumn="0" w:lastRowLastColumn="0"/>
              <w:rPr>
                <w:rFonts w:cs="Calibri"/>
                <w:sz w:val="20"/>
              </w:rPr>
            </w:pPr>
            <w:r w:rsidRPr="002C3B86">
              <w:rPr>
                <w:rFonts w:cs="Calibri"/>
                <w:sz w:val="20"/>
              </w:rPr>
              <w:t>Somerset County</w:t>
            </w:r>
          </w:p>
        </w:tc>
        <w:tc>
          <w:tcPr>
            <w:tcW w:w="2259" w:type="dxa"/>
          </w:tcPr>
          <w:p w14:paraId="64BADEB0" w14:textId="7AE5B099" w:rsidR="002C3B86" w:rsidRPr="002C3B86" w:rsidRDefault="002C3B86" w:rsidP="004A75F5">
            <w:pPr>
              <w:spacing w:after="0"/>
              <w:ind w:firstLineChars="100" w:firstLine="200"/>
              <w:jc w:val="center"/>
              <w:cnfStyle w:val="000000100000" w:firstRow="0" w:lastRow="0" w:firstColumn="0" w:lastColumn="0" w:oddVBand="0" w:evenVBand="0" w:oddHBand="1" w:evenHBand="0" w:firstRowFirstColumn="0" w:firstRowLastColumn="0" w:lastRowFirstColumn="0" w:lastRowLastColumn="0"/>
              <w:rPr>
                <w:rFonts w:cs="Calibri"/>
                <w:sz w:val="20"/>
              </w:rPr>
            </w:pPr>
            <w:r w:rsidRPr="002C3B86">
              <w:rPr>
                <w:rFonts w:cs="Calibri"/>
                <w:sz w:val="20"/>
              </w:rPr>
              <w:t>41540</w:t>
            </w:r>
          </w:p>
        </w:tc>
      </w:tr>
      <w:tr w:rsidR="002C3B86" w:rsidRPr="002C3B86" w14:paraId="51D1F75A" w14:textId="24C1A89F" w:rsidTr="004A75F5">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975" w:type="dxa"/>
            <w:vMerge/>
            <w:hideMark/>
          </w:tcPr>
          <w:p w14:paraId="76BBE735" w14:textId="77777777" w:rsidR="002C3B86" w:rsidRPr="002C3B86" w:rsidRDefault="002C3B86" w:rsidP="002C3B86">
            <w:pPr>
              <w:spacing w:after="0"/>
              <w:rPr>
                <w:rFonts w:cs="Calibri"/>
                <w:color w:val="000000"/>
                <w:sz w:val="20"/>
              </w:rPr>
            </w:pPr>
          </w:p>
        </w:tc>
        <w:tc>
          <w:tcPr>
            <w:tcW w:w="1885" w:type="dxa"/>
            <w:noWrap/>
            <w:hideMark/>
          </w:tcPr>
          <w:p w14:paraId="5B1A34A9" w14:textId="77777777" w:rsidR="002C3B86" w:rsidRPr="002C3B86" w:rsidRDefault="002C3B86" w:rsidP="002C3B86">
            <w:pPr>
              <w:spacing w:after="0"/>
              <w:jc w:val="center"/>
              <w:cnfStyle w:val="000000010000" w:firstRow="0" w:lastRow="0" w:firstColumn="0" w:lastColumn="0" w:oddVBand="0" w:evenVBand="0" w:oddHBand="0" w:evenHBand="1" w:firstRowFirstColumn="0" w:firstRowLastColumn="0" w:lastRowFirstColumn="0" w:lastRowLastColumn="0"/>
              <w:rPr>
                <w:rFonts w:cs="Calibri"/>
                <w:sz w:val="20"/>
              </w:rPr>
            </w:pPr>
            <w:r w:rsidRPr="002C3B86">
              <w:rPr>
                <w:rFonts w:cs="Calibri"/>
                <w:sz w:val="20"/>
              </w:rPr>
              <w:t>24045</w:t>
            </w:r>
          </w:p>
        </w:tc>
        <w:tc>
          <w:tcPr>
            <w:tcW w:w="2820" w:type="dxa"/>
            <w:noWrap/>
            <w:hideMark/>
          </w:tcPr>
          <w:p w14:paraId="176326BE" w14:textId="467A8F0E" w:rsidR="002C3B86" w:rsidRPr="002C3B86" w:rsidRDefault="002C3B86" w:rsidP="002C3B86">
            <w:pPr>
              <w:spacing w:after="0"/>
              <w:ind w:firstLineChars="100" w:firstLine="200"/>
              <w:cnfStyle w:val="000000010000" w:firstRow="0" w:lastRow="0" w:firstColumn="0" w:lastColumn="0" w:oddVBand="0" w:evenVBand="0" w:oddHBand="0" w:evenHBand="1" w:firstRowFirstColumn="0" w:firstRowLastColumn="0" w:lastRowFirstColumn="0" w:lastRowLastColumn="0"/>
              <w:rPr>
                <w:rFonts w:cs="Calibri"/>
                <w:sz w:val="20"/>
              </w:rPr>
            </w:pPr>
            <w:r w:rsidRPr="002C3B86">
              <w:rPr>
                <w:rFonts w:cs="Calibri"/>
                <w:sz w:val="20"/>
              </w:rPr>
              <w:t>Wicomico County</w:t>
            </w:r>
          </w:p>
        </w:tc>
        <w:tc>
          <w:tcPr>
            <w:tcW w:w="2259" w:type="dxa"/>
          </w:tcPr>
          <w:p w14:paraId="7BB4ED7C" w14:textId="58B4CB80" w:rsidR="002C3B86" w:rsidRPr="002C3B86" w:rsidRDefault="002C3B86" w:rsidP="004A75F5">
            <w:pPr>
              <w:spacing w:after="0"/>
              <w:ind w:firstLineChars="100" w:firstLine="200"/>
              <w:jc w:val="center"/>
              <w:cnfStyle w:val="000000010000" w:firstRow="0" w:lastRow="0" w:firstColumn="0" w:lastColumn="0" w:oddVBand="0" w:evenVBand="0" w:oddHBand="0" w:evenHBand="1" w:firstRowFirstColumn="0" w:firstRowLastColumn="0" w:lastRowFirstColumn="0" w:lastRowLastColumn="0"/>
              <w:rPr>
                <w:rFonts w:cs="Calibri"/>
                <w:sz w:val="20"/>
              </w:rPr>
            </w:pPr>
            <w:r w:rsidRPr="002C3B86">
              <w:rPr>
                <w:rFonts w:cs="Calibri"/>
                <w:sz w:val="20"/>
              </w:rPr>
              <w:t>41540</w:t>
            </w:r>
          </w:p>
        </w:tc>
      </w:tr>
      <w:tr w:rsidR="002C3B86" w:rsidRPr="002C3B86" w14:paraId="21364D54" w14:textId="1622A7A8" w:rsidTr="004A75F5">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975" w:type="dxa"/>
            <w:vMerge/>
            <w:hideMark/>
          </w:tcPr>
          <w:p w14:paraId="7F0B179A" w14:textId="77777777" w:rsidR="002C3B86" w:rsidRPr="002C3B86" w:rsidRDefault="002C3B86" w:rsidP="002C3B86">
            <w:pPr>
              <w:spacing w:after="0"/>
              <w:rPr>
                <w:rFonts w:cs="Calibri"/>
                <w:color w:val="000000"/>
                <w:sz w:val="20"/>
              </w:rPr>
            </w:pPr>
          </w:p>
        </w:tc>
        <w:tc>
          <w:tcPr>
            <w:tcW w:w="1885" w:type="dxa"/>
            <w:noWrap/>
            <w:hideMark/>
          </w:tcPr>
          <w:p w14:paraId="67F5F7A8" w14:textId="77777777" w:rsidR="002C3B86" w:rsidRPr="002C3B86" w:rsidRDefault="002C3B86" w:rsidP="002C3B86">
            <w:pPr>
              <w:spacing w:after="0"/>
              <w:jc w:val="center"/>
              <w:cnfStyle w:val="000000100000" w:firstRow="0" w:lastRow="0" w:firstColumn="0" w:lastColumn="0" w:oddVBand="0" w:evenVBand="0" w:oddHBand="1" w:evenHBand="0" w:firstRowFirstColumn="0" w:firstRowLastColumn="0" w:lastRowFirstColumn="0" w:lastRowLastColumn="0"/>
              <w:rPr>
                <w:rFonts w:cs="Calibri"/>
                <w:sz w:val="20"/>
              </w:rPr>
            </w:pPr>
            <w:r w:rsidRPr="002C3B86">
              <w:rPr>
                <w:rFonts w:cs="Calibri"/>
                <w:sz w:val="20"/>
              </w:rPr>
              <w:t>24047</w:t>
            </w:r>
          </w:p>
        </w:tc>
        <w:tc>
          <w:tcPr>
            <w:tcW w:w="2820" w:type="dxa"/>
            <w:noWrap/>
            <w:hideMark/>
          </w:tcPr>
          <w:p w14:paraId="622ADB92" w14:textId="66CEEF10" w:rsidR="002C3B86" w:rsidRPr="002C3B86" w:rsidRDefault="002C3B86" w:rsidP="002C3B86">
            <w:pPr>
              <w:spacing w:after="0"/>
              <w:ind w:firstLineChars="100" w:firstLine="200"/>
              <w:cnfStyle w:val="000000100000" w:firstRow="0" w:lastRow="0" w:firstColumn="0" w:lastColumn="0" w:oddVBand="0" w:evenVBand="0" w:oddHBand="1" w:evenHBand="0" w:firstRowFirstColumn="0" w:firstRowLastColumn="0" w:lastRowFirstColumn="0" w:lastRowLastColumn="0"/>
              <w:rPr>
                <w:rFonts w:cs="Calibri"/>
                <w:sz w:val="20"/>
              </w:rPr>
            </w:pPr>
            <w:r w:rsidRPr="002C3B86">
              <w:rPr>
                <w:rFonts w:cs="Calibri"/>
                <w:sz w:val="20"/>
              </w:rPr>
              <w:t>Worcester County</w:t>
            </w:r>
          </w:p>
        </w:tc>
        <w:tc>
          <w:tcPr>
            <w:tcW w:w="2259" w:type="dxa"/>
          </w:tcPr>
          <w:p w14:paraId="2BB7AA61" w14:textId="2AEFD953" w:rsidR="002C3B86" w:rsidRPr="002C3B86" w:rsidRDefault="002C3B86" w:rsidP="004A75F5">
            <w:pPr>
              <w:spacing w:after="0"/>
              <w:ind w:firstLineChars="100" w:firstLine="200"/>
              <w:jc w:val="center"/>
              <w:cnfStyle w:val="000000100000" w:firstRow="0" w:lastRow="0" w:firstColumn="0" w:lastColumn="0" w:oddVBand="0" w:evenVBand="0" w:oddHBand="1" w:evenHBand="0" w:firstRowFirstColumn="0" w:firstRowLastColumn="0" w:lastRowFirstColumn="0" w:lastRowLastColumn="0"/>
              <w:rPr>
                <w:rFonts w:cs="Calibri"/>
                <w:sz w:val="20"/>
              </w:rPr>
            </w:pPr>
            <w:r w:rsidRPr="002C3B86">
              <w:rPr>
                <w:rFonts w:cs="Calibri"/>
                <w:sz w:val="20"/>
              </w:rPr>
              <w:t>41540</w:t>
            </w:r>
          </w:p>
        </w:tc>
      </w:tr>
      <w:tr w:rsidR="002C3B86" w:rsidRPr="002C3B86" w14:paraId="552D9C13" w14:textId="25C295FD" w:rsidTr="004A75F5">
        <w:trPr>
          <w:cnfStyle w:val="000000010000" w:firstRow="0" w:lastRow="0" w:firstColumn="0" w:lastColumn="0" w:oddVBand="0" w:evenVBand="0" w:oddHBand="0" w:evenHBand="1"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1975" w:type="dxa"/>
            <w:vMerge w:val="restart"/>
            <w:noWrap/>
            <w:hideMark/>
          </w:tcPr>
          <w:p w14:paraId="7BD9E2D4" w14:textId="77777777" w:rsidR="002C3B86" w:rsidRDefault="002C3B86" w:rsidP="002C3B86">
            <w:pPr>
              <w:spacing w:after="0"/>
              <w:jc w:val="center"/>
              <w:rPr>
                <w:rFonts w:cs="Calibri"/>
                <w:color w:val="000000"/>
                <w:sz w:val="20"/>
              </w:rPr>
            </w:pPr>
            <w:r w:rsidRPr="002C3B86">
              <w:rPr>
                <w:rFonts w:cs="Calibri"/>
                <w:color w:val="000000"/>
                <w:sz w:val="20"/>
              </w:rPr>
              <w:t>MD</w:t>
            </w:r>
            <w:r>
              <w:rPr>
                <w:rFonts w:cs="Calibri"/>
                <w:color w:val="000000"/>
                <w:sz w:val="20"/>
              </w:rPr>
              <w:t>4</w:t>
            </w:r>
          </w:p>
          <w:p w14:paraId="3B414876" w14:textId="57742ED9" w:rsidR="002C3B86" w:rsidRPr="002C3B86" w:rsidRDefault="002C3B86" w:rsidP="002C3B86">
            <w:pPr>
              <w:spacing w:after="0"/>
              <w:jc w:val="center"/>
              <w:rPr>
                <w:rFonts w:cs="Calibri"/>
                <w:color w:val="000000"/>
                <w:sz w:val="20"/>
              </w:rPr>
            </w:pPr>
            <w:r>
              <w:rPr>
                <w:rFonts w:cs="Calibri"/>
                <w:color w:val="000000"/>
                <w:sz w:val="20"/>
              </w:rPr>
              <w:t>Northern DC Suburbs</w:t>
            </w:r>
          </w:p>
        </w:tc>
        <w:tc>
          <w:tcPr>
            <w:tcW w:w="1885" w:type="dxa"/>
            <w:noWrap/>
            <w:hideMark/>
          </w:tcPr>
          <w:p w14:paraId="6E1DDE52" w14:textId="77777777" w:rsidR="002C3B86" w:rsidRPr="002C3B86" w:rsidRDefault="002C3B86" w:rsidP="002C3B86">
            <w:pPr>
              <w:spacing w:after="0"/>
              <w:jc w:val="center"/>
              <w:cnfStyle w:val="000000010000" w:firstRow="0" w:lastRow="0" w:firstColumn="0" w:lastColumn="0" w:oddVBand="0" w:evenVBand="0" w:oddHBand="0" w:evenHBand="1" w:firstRowFirstColumn="0" w:firstRowLastColumn="0" w:lastRowFirstColumn="0" w:lastRowLastColumn="0"/>
              <w:rPr>
                <w:rFonts w:cs="Calibri"/>
                <w:color w:val="000000"/>
                <w:sz w:val="20"/>
              </w:rPr>
            </w:pPr>
            <w:r w:rsidRPr="002C3B86">
              <w:rPr>
                <w:rFonts w:cs="Calibri"/>
                <w:color w:val="000000"/>
                <w:sz w:val="20"/>
              </w:rPr>
              <w:t>24021</w:t>
            </w:r>
          </w:p>
        </w:tc>
        <w:tc>
          <w:tcPr>
            <w:tcW w:w="2820" w:type="dxa"/>
            <w:noWrap/>
            <w:hideMark/>
          </w:tcPr>
          <w:p w14:paraId="0AE6D95E" w14:textId="2BB636FE" w:rsidR="002C3B86" w:rsidRPr="002C3B86" w:rsidRDefault="002C3B86" w:rsidP="002C3B86">
            <w:pPr>
              <w:spacing w:after="0"/>
              <w:ind w:firstLineChars="100" w:firstLine="200"/>
              <w:cnfStyle w:val="000000010000" w:firstRow="0" w:lastRow="0" w:firstColumn="0" w:lastColumn="0" w:oddVBand="0" w:evenVBand="0" w:oddHBand="0" w:evenHBand="1" w:firstRowFirstColumn="0" w:firstRowLastColumn="0" w:lastRowFirstColumn="0" w:lastRowLastColumn="0"/>
              <w:rPr>
                <w:rFonts w:cs="Calibri"/>
                <w:color w:val="000000"/>
                <w:sz w:val="20"/>
              </w:rPr>
            </w:pPr>
            <w:r w:rsidRPr="002C3B86">
              <w:rPr>
                <w:rFonts w:cs="Calibri"/>
                <w:color w:val="000000"/>
                <w:sz w:val="20"/>
              </w:rPr>
              <w:t>Frederick County</w:t>
            </w:r>
          </w:p>
        </w:tc>
        <w:tc>
          <w:tcPr>
            <w:tcW w:w="2259" w:type="dxa"/>
          </w:tcPr>
          <w:p w14:paraId="44407AE6" w14:textId="4E71073D" w:rsidR="002C3B86" w:rsidRPr="002C3B86" w:rsidRDefault="002C3B86" w:rsidP="004A75F5">
            <w:pPr>
              <w:spacing w:after="0"/>
              <w:ind w:firstLineChars="100" w:firstLine="200"/>
              <w:jc w:val="center"/>
              <w:cnfStyle w:val="000000010000" w:firstRow="0" w:lastRow="0" w:firstColumn="0" w:lastColumn="0" w:oddVBand="0" w:evenVBand="0" w:oddHBand="0" w:evenHBand="1" w:firstRowFirstColumn="0" w:firstRowLastColumn="0" w:lastRowFirstColumn="0" w:lastRowLastColumn="0"/>
              <w:rPr>
                <w:rFonts w:cs="Calibri"/>
                <w:color w:val="000000"/>
                <w:sz w:val="20"/>
              </w:rPr>
            </w:pPr>
            <w:r w:rsidRPr="002C3B86">
              <w:rPr>
                <w:rFonts w:cs="Calibri"/>
                <w:color w:val="000000"/>
                <w:sz w:val="20"/>
              </w:rPr>
              <w:t>43524</w:t>
            </w:r>
          </w:p>
        </w:tc>
      </w:tr>
      <w:tr w:rsidR="002C3B86" w:rsidRPr="002C3B86" w14:paraId="0C406C64" w14:textId="7AB11552" w:rsidTr="004A75F5">
        <w:trPr>
          <w:cnfStyle w:val="000000100000" w:firstRow="0" w:lastRow="0" w:firstColumn="0" w:lastColumn="0" w:oddVBand="0" w:evenVBand="0" w:oddHBand="1" w:evenHBand="0" w:firstRowFirstColumn="0" w:firstRowLastColumn="0" w:lastRowFirstColumn="0" w:lastRowLastColumn="0"/>
          <w:trHeight w:val="280"/>
          <w:jc w:val="center"/>
        </w:trPr>
        <w:tc>
          <w:tcPr>
            <w:cnfStyle w:val="001000000000" w:firstRow="0" w:lastRow="0" w:firstColumn="1" w:lastColumn="0" w:oddVBand="0" w:evenVBand="0" w:oddHBand="0" w:evenHBand="0" w:firstRowFirstColumn="0" w:firstRowLastColumn="0" w:lastRowFirstColumn="0" w:lastRowLastColumn="0"/>
            <w:tcW w:w="1975" w:type="dxa"/>
            <w:vMerge/>
            <w:hideMark/>
          </w:tcPr>
          <w:p w14:paraId="51C97631" w14:textId="77777777" w:rsidR="002C3B86" w:rsidRPr="002C3B86" w:rsidRDefault="002C3B86" w:rsidP="002C3B86">
            <w:pPr>
              <w:spacing w:after="0"/>
              <w:rPr>
                <w:rFonts w:cs="Calibri"/>
                <w:color w:val="000000"/>
                <w:sz w:val="20"/>
              </w:rPr>
            </w:pPr>
          </w:p>
        </w:tc>
        <w:tc>
          <w:tcPr>
            <w:tcW w:w="1885" w:type="dxa"/>
            <w:noWrap/>
            <w:hideMark/>
          </w:tcPr>
          <w:p w14:paraId="71BBADD4" w14:textId="77777777" w:rsidR="002C3B86" w:rsidRPr="002C3B86" w:rsidRDefault="002C3B86" w:rsidP="002C3B86">
            <w:pPr>
              <w:spacing w:after="0"/>
              <w:jc w:val="center"/>
              <w:cnfStyle w:val="000000100000" w:firstRow="0" w:lastRow="0" w:firstColumn="0" w:lastColumn="0" w:oddVBand="0" w:evenVBand="0" w:oddHBand="1" w:evenHBand="0" w:firstRowFirstColumn="0" w:firstRowLastColumn="0" w:lastRowFirstColumn="0" w:lastRowLastColumn="0"/>
              <w:rPr>
                <w:rFonts w:cs="Calibri"/>
                <w:color w:val="000000"/>
                <w:sz w:val="20"/>
              </w:rPr>
            </w:pPr>
            <w:r w:rsidRPr="002C3B86">
              <w:rPr>
                <w:rFonts w:cs="Calibri"/>
                <w:color w:val="000000"/>
                <w:sz w:val="20"/>
              </w:rPr>
              <w:t>24031</w:t>
            </w:r>
          </w:p>
        </w:tc>
        <w:tc>
          <w:tcPr>
            <w:tcW w:w="2820" w:type="dxa"/>
            <w:noWrap/>
            <w:hideMark/>
          </w:tcPr>
          <w:p w14:paraId="480894C7" w14:textId="0868839F" w:rsidR="002C3B86" w:rsidRPr="002C3B86" w:rsidRDefault="002C3B86" w:rsidP="002C3B86">
            <w:pPr>
              <w:spacing w:after="0"/>
              <w:ind w:firstLineChars="100" w:firstLine="200"/>
              <w:cnfStyle w:val="000000100000" w:firstRow="0" w:lastRow="0" w:firstColumn="0" w:lastColumn="0" w:oddVBand="0" w:evenVBand="0" w:oddHBand="1" w:evenHBand="0" w:firstRowFirstColumn="0" w:firstRowLastColumn="0" w:lastRowFirstColumn="0" w:lastRowLastColumn="0"/>
              <w:rPr>
                <w:rFonts w:cs="Calibri"/>
                <w:color w:val="000000"/>
                <w:sz w:val="20"/>
              </w:rPr>
            </w:pPr>
            <w:r w:rsidRPr="002C3B86">
              <w:rPr>
                <w:rFonts w:cs="Calibri"/>
                <w:color w:val="000000"/>
                <w:sz w:val="20"/>
              </w:rPr>
              <w:t>Montgomery County</w:t>
            </w:r>
          </w:p>
        </w:tc>
        <w:tc>
          <w:tcPr>
            <w:tcW w:w="2259" w:type="dxa"/>
          </w:tcPr>
          <w:p w14:paraId="36691DDC" w14:textId="612F90F1" w:rsidR="002C3B86" w:rsidRPr="002C3B86" w:rsidRDefault="002C3B86" w:rsidP="004A75F5">
            <w:pPr>
              <w:spacing w:after="0"/>
              <w:ind w:firstLineChars="100" w:firstLine="200"/>
              <w:jc w:val="center"/>
              <w:cnfStyle w:val="000000100000" w:firstRow="0" w:lastRow="0" w:firstColumn="0" w:lastColumn="0" w:oddVBand="0" w:evenVBand="0" w:oddHBand="1" w:evenHBand="0" w:firstRowFirstColumn="0" w:firstRowLastColumn="0" w:lastRowFirstColumn="0" w:lastRowLastColumn="0"/>
              <w:rPr>
                <w:rFonts w:cs="Calibri"/>
                <w:color w:val="000000"/>
                <w:sz w:val="20"/>
              </w:rPr>
            </w:pPr>
            <w:r w:rsidRPr="002C3B86">
              <w:rPr>
                <w:rFonts w:cs="Calibri"/>
                <w:color w:val="000000"/>
                <w:sz w:val="20"/>
              </w:rPr>
              <w:t>43524</w:t>
            </w:r>
          </w:p>
        </w:tc>
      </w:tr>
      <w:tr w:rsidR="002C3B86" w:rsidRPr="002C3B86" w14:paraId="3C7FAB29" w14:textId="6F9231BA" w:rsidTr="004A75F5">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975" w:type="dxa"/>
            <w:vMerge w:val="restart"/>
            <w:noWrap/>
            <w:hideMark/>
          </w:tcPr>
          <w:p w14:paraId="7865006C" w14:textId="77777777" w:rsidR="002C3B86" w:rsidRDefault="002C3B86" w:rsidP="002C3B86">
            <w:pPr>
              <w:spacing w:after="0"/>
              <w:jc w:val="center"/>
              <w:rPr>
                <w:rFonts w:cs="Calibri"/>
                <w:color w:val="000000" w:themeColor="text1"/>
                <w:sz w:val="20"/>
              </w:rPr>
            </w:pPr>
            <w:r w:rsidRPr="002C3B86">
              <w:rPr>
                <w:rFonts w:cs="Calibri"/>
                <w:color w:val="000000" w:themeColor="text1"/>
                <w:sz w:val="20"/>
              </w:rPr>
              <w:t>MD5</w:t>
            </w:r>
          </w:p>
          <w:p w14:paraId="1E8AE07E" w14:textId="73174431" w:rsidR="002C3B86" w:rsidRPr="002C3B86" w:rsidRDefault="002C3B86" w:rsidP="002C3B86">
            <w:pPr>
              <w:spacing w:after="0"/>
              <w:jc w:val="center"/>
              <w:rPr>
                <w:rFonts w:cs="Calibri"/>
                <w:color w:val="000000" w:themeColor="text1"/>
                <w:sz w:val="20"/>
              </w:rPr>
            </w:pPr>
            <w:r>
              <w:rPr>
                <w:rFonts w:cs="Calibri"/>
                <w:color w:val="000000" w:themeColor="text1"/>
                <w:sz w:val="20"/>
              </w:rPr>
              <w:t>Baltimore Area</w:t>
            </w:r>
          </w:p>
        </w:tc>
        <w:tc>
          <w:tcPr>
            <w:tcW w:w="1885" w:type="dxa"/>
            <w:noWrap/>
            <w:hideMark/>
          </w:tcPr>
          <w:p w14:paraId="4A285220" w14:textId="77777777" w:rsidR="002C3B86" w:rsidRPr="002C3B86" w:rsidRDefault="002C3B86" w:rsidP="002C3B86">
            <w:pPr>
              <w:spacing w:after="0"/>
              <w:jc w:val="center"/>
              <w:cnfStyle w:val="000000010000" w:firstRow="0" w:lastRow="0" w:firstColumn="0" w:lastColumn="0" w:oddVBand="0" w:evenVBand="0" w:oddHBand="0" w:evenHBand="1" w:firstRowFirstColumn="0" w:firstRowLastColumn="0" w:lastRowFirstColumn="0" w:lastRowLastColumn="0"/>
              <w:rPr>
                <w:rFonts w:cs="Calibri"/>
                <w:color w:val="000000" w:themeColor="text1"/>
                <w:sz w:val="20"/>
              </w:rPr>
            </w:pPr>
            <w:r w:rsidRPr="002C3B86">
              <w:rPr>
                <w:rFonts w:cs="Calibri"/>
                <w:color w:val="000000" w:themeColor="text1"/>
                <w:sz w:val="20"/>
              </w:rPr>
              <w:t>24015</w:t>
            </w:r>
          </w:p>
        </w:tc>
        <w:tc>
          <w:tcPr>
            <w:tcW w:w="2820" w:type="dxa"/>
            <w:noWrap/>
            <w:hideMark/>
          </w:tcPr>
          <w:p w14:paraId="07E37802" w14:textId="2C8E19F8" w:rsidR="002C3B86" w:rsidRPr="002C3B86" w:rsidRDefault="002C3B86" w:rsidP="002C3B86">
            <w:pPr>
              <w:spacing w:after="0"/>
              <w:ind w:firstLineChars="100" w:firstLine="200"/>
              <w:cnfStyle w:val="000000010000" w:firstRow="0" w:lastRow="0" w:firstColumn="0" w:lastColumn="0" w:oddVBand="0" w:evenVBand="0" w:oddHBand="0" w:evenHBand="1" w:firstRowFirstColumn="0" w:firstRowLastColumn="0" w:lastRowFirstColumn="0" w:lastRowLastColumn="0"/>
              <w:rPr>
                <w:rFonts w:cs="Calibri"/>
                <w:color w:val="000000" w:themeColor="text1"/>
                <w:sz w:val="20"/>
              </w:rPr>
            </w:pPr>
            <w:r w:rsidRPr="002C3B86">
              <w:rPr>
                <w:rFonts w:cs="Calibri"/>
                <w:color w:val="000000" w:themeColor="text1"/>
                <w:sz w:val="20"/>
              </w:rPr>
              <w:t>Cecil</w:t>
            </w:r>
          </w:p>
        </w:tc>
        <w:tc>
          <w:tcPr>
            <w:tcW w:w="2259" w:type="dxa"/>
          </w:tcPr>
          <w:p w14:paraId="3A0B6773" w14:textId="78D848F6" w:rsidR="002C3B86" w:rsidRPr="002C3B86" w:rsidRDefault="002C3B86" w:rsidP="004A75F5">
            <w:pPr>
              <w:spacing w:after="0"/>
              <w:ind w:firstLineChars="100" w:firstLine="200"/>
              <w:jc w:val="center"/>
              <w:cnfStyle w:val="000000010000" w:firstRow="0" w:lastRow="0" w:firstColumn="0" w:lastColumn="0" w:oddVBand="0" w:evenVBand="0" w:oddHBand="0" w:evenHBand="1" w:firstRowFirstColumn="0" w:firstRowLastColumn="0" w:lastRowFirstColumn="0" w:lastRowLastColumn="0"/>
              <w:rPr>
                <w:rFonts w:cs="Calibri"/>
                <w:color w:val="000000" w:themeColor="text1"/>
                <w:sz w:val="20"/>
              </w:rPr>
            </w:pPr>
            <w:r w:rsidRPr="002C3B86">
              <w:rPr>
                <w:rFonts w:cs="Calibri"/>
                <w:color w:val="000000" w:themeColor="text1"/>
                <w:sz w:val="20"/>
              </w:rPr>
              <w:t>48864</w:t>
            </w:r>
          </w:p>
        </w:tc>
      </w:tr>
      <w:tr w:rsidR="002C3B86" w:rsidRPr="002C3B86" w14:paraId="47AA2C7A" w14:textId="1E8956E8" w:rsidTr="004A75F5">
        <w:trPr>
          <w:cnfStyle w:val="000000100000" w:firstRow="0" w:lastRow="0" w:firstColumn="0" w:lastColumn="0" w:oddVBand="0" w:evenVBand="0" w:oddHBand="1" w:evenHBand="0" w:firstRowFirstColumn="0" w:firstRowLastColumn="0" w:lastRowFirstColumn="0" w:lastRowLastColumn="0"/>
          <w:trHeight w:val="255"/>
          <w:jc w:val="center"/>
        </w:trPr>
        <w:tc>
          <w:tcPr>
            <w:cnfStyle w:val="001000000000" w:firstRow="0" w:lastRow="0" w:firstColumn="1" w:lastColumn="0" w:oddVBand="0" w:evenVBand="0" w:oddHBand="0" w:evenHBand="0" w:firstRowFirstColumn="0" w:firstRowLastColumn="0" w:lastRowFirstColumn="0" w:lastRowLastColumn="0"/>
            <w:tcW w:w="1975" w:type="dxa"/>
            <w:vMerge/>
            <w:hideMark/>
          </w:tcPr>
          <w:p w14:paraId="08D613D9" w14:textId="77777777" w:rsidR="002C3B86" w:rsidRPr="002C3B86" w:rsidRDefault="002C3B86" w:rsidP="002C3B86">
            <w:pPr>
              <w:spacing w:after="0"/>
              <w:rPr>
                <w:rFonts w:cs="Calibri"/>
                <w:color w:val="000000" w:themeColor="text1"/>
                <w:sz w:val="20"/>
              </w:rPr>
            </w:pPr>
          </w:p>
        </w:tc>
        <w:tc>
          <w:tcPr>
            <w:tcW w:w="1885" w:type="dxa"/>
            <w:noWrap/>
            <w:hideMark/>
          </w:tcPr>
          <w:p w14:paraId="58DB17EA" w14:textId="77777777" w:rsidR="002C3B86" w:rsidRPr="002C3B86" w:rsidRDefault="002C3B86" w:rsidP="002C3B86">
            <w:pPr>
              <w:spacing w:after="0"/>
              <w:jc w:val="center"/>
              <w:cnfStyle w:val="000000100000" w:firstRow="0" w:lastRow="0" w:firstColumn="0" w:lastColumn="0" w:oddVBand="0" w:evenVBand="0" w:oddHBand="1" w:evenHBand="0" w:firstRowFirstColumn="0" w:firstRowLastColumn="0" w:lastRowFirstColumn="0" w:lastRowLastColumn="0"/>
              <w:rPr>
                <w:rFonts w:cs="Calibri"/>
                <w:color w:val="000000" w:themeColor="text1"/>
                <w:sz w:val="20"/>
              </w:rPr>
            </w:pPr>
            <w:r w:rsidRPr="002C3B86">
              <w:rPr>
                <w:rFonts w:cs="Calibri"/>
                <w:color w:val="000000" w:themeColor="text1"/>
                <w:sz w:val="20"/>
              </w:rPr>
              <w:t>24005</w:t>
            </w:r>
          </w:p>
        </w:tc>
        <w:tc>
          <w:tcPr>
            <w:tcW w:w="2820" w:type="dxa"/>
            <w:noWrap/>
            <w:hideMark/>
          </w:tcPr>
          <w:p w14:paraId="68315581" w14:textId="62870334" w:rsidR="002C3B86" w:rsidRPr="002C3B86" w:rsidRDefault="002C3B86" w:rsidP="002C3B86">
            <w:pPr>
              <w:spacing w:after="0"/>
              <w:ind w:firstLineChars="100" w:firstLine="200"/>
              <w:cnfStyle w:val="000000100000" w:firstRow="0" w:lastRow="0" w:firstColumn="0" w:lastColumn="0" w:oddVBand="0" w:evenVBand="0" w:oddHBand="1" w:evenHBand="0" w:firstRowFirstColumn="0" w:firstRowLastColumn="0" w:lastRowFirstColumn="0" w:lastRowLastColumn="0"/>
              <w:rPr>
                <w:rFonts w:cs="Calibri"/>
                <w:color w:val="000000" w:themeColor="text1"/>
                <w:sz w:val="20"/>
              </w:rPr>
            </w:pPr>
            <w:r w:rsidRPr="002C3B86">
              <w:rPr>
                <w:rFonts w:cs="Calibri"/>
                <w:color w:val="000000" w:themeColor="text1"/>
                <w:sz w:val="20"/>
              </w:rPr>
              <w:t>Baltimore County</w:t>
            </w:r>
          </w:p>
        </w:tc>
        <w:tc>
          <w:tcPr>
            <w:tcW w:w="2259" w:type="dxa"/>
          </w:tcPr>
          <w:p w14:paraId="413515D5" w14:textId="1C73F649" w:rsidR="002C3B86" w:rsidRPr="002C3B86" w:rsidRDefault="002C3B86" w:rsidP="004A75F5">
            <w:pPr>
              <w:spacing w:after="0"/>
              <w:ind w:firstLineChars="100" w:firstLine="200"/>
              <w:jc w:val="center"/>
              <w:cnfStyle w:val="000000100000" w:firstRow="0" w:lastRow="0" w:firstColumn="0" w:lastColumn="0" w:oddVBand="0" w:evenVBand="0" w:oddHBand="1" w:evenHBand="0" w:firstRowFirstColumn="0" w:firstRowLastColumn="0" w:lastRowFirstColumn="0" w:lastRowLastColumn="0"/>
              <w:rPr>
                <w:rFonts w:cs="Calibri"/>
                <w:color w:val="000000" w:themeColor="text1"/>
                <w:sz w:val="20"/>
              </w:rPr>
            </w:pPr>
            <w:r w:rsidRPr="002C3B86">
              <w:rPr>
                <w:rFonts w:cs="Calibri"/>
                <w:color w:val="000000" w:themeColor="text1"/>
                <w:sz w:val="20"/>
              </w:rPr>
              <w:t>12580</w:t>
            </w:r>
          </w:p>
        </w:tc>
      </w:tr>
      <w:tr w:rsidR="002C3B86" w:rsidRPr="002C3B86" w14:paraId="13110ACC" w14:textId="11F6E789" w:rsidTr="004A75F5">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975" w:type="dxa"/>
            <w:vMerge/>
            <w:hideMark/>
          </w:tcPr>
          <w:p w14:paraId="66790C66" w14:textId="77777777" w:rsidR="002C3B86" w:rsidRPr="002C3B86" w:rsidRDefault="002C3B86" w:rsidP="002C3B86">
            <w:pPr>
              <w:spacing w:after="0"/>
              <w:rPr>
                <w:rFonts w:cs="Calibri"/>
                <w:color w:val="000000" w:themeColor="text1"/>
                <w:sz w:val="20"/>
              </w:rPr>
            </w:pPr>
          </w:p>
        </w:tc>
        <w:tc>
          <w:tcPr>
            <w:tcW w:w="1885" w:type="dxa"/>
            <w:noWrap/>
            <w:hideMark/>
          </w:tcPr>
          <w:p w14:paraId="6C9877FA" w14:textId="77777777" w:rsidR="002C3B86" w:rsidRPr="002C3B86" w:rsidRDefault="002C3B86" w:rsidP="002C3B86">
            <w:pPr>
              <w:spacing w:after="0"/>
              <w:jc w:val="center"/>
              <w:cnfStyle w:val="000000010000" w:firstRow="0" w:lastRow="0" w:firstColumn="0" w:lastColumn="0" w:oddVBand="0" w:evenVBand="0" w:oddHBand="0" w:evenHBand="1" w:firstRowFirstColumn="0" w:firstRowLastColumn="0" w:lastRowFirstColumn="0" w:lastRowLastColumn="0"/>
              <w:rPr>
                <w:rFonts w:cs="Calibri"/>
                <w:color w:val="000000" w:themeColor="text1"/>
                <w:sz w:val="20"/>
              </w:rPr>
            </w:pPr>
            <w:r w:rsidRPr="002C3B86">
              <w:rPr>
                <w:rFonts w:cs="Calibri"/>
                <w:color w:val="000000" w:themeColor="text1"/>
                <w:sz w:val="20"/>
              </w:rPr>
              <w:t>24025</w:t>
            </w:r>
          </w:p>
        </w:tc>
        <w:tc>
          <w:tcPr>
            <w:tcW w:w="2820" w:type="dxa"/>
            <w:noWrap/>
            <w:hideMark/>
          </w:tcPr>
          <w:p w14:paraId="303F9A59" w14:textId="7092BFFF" w:rsidR="002C3B86" w:rsidRPr="002C3B86" w:rsidRDefault="002C3B86" w:rsidP="002C3B86">
            <w:pPr>
              <w:spacing w:after="0"/>
              <w:ind w:firstLineChars="100" w:firstLine="200"/>
              <w:cnfStyle w:val="000000010000" w:firstRow="0" w:lastRow="0" w:firstColumn="0" w:lastColumn="0" w:oddVBand="0" w:evenVBand="0" w:oddHBand="0" w:evenHBand="1" w:firstRowFirstColumn="0" w:firstRowLastColumn="0" w:lastRowFirstColumn="0" w:lastRowLastColumn="0"/>
              <w:rPr>
                <w:rFonts w:cs="Calibri"/>
                <w:color w:val="000000" w:themeColor="text1"/>
                <w:sz w:val="20"/>
              </w:rPr>
            </w:pPr>
            <w:r w:rsidRPr="002C3B86">
              <w:rPr>
                <w:rFonts w:cs="Calibri"/>
                <w:color w:val="000000" w:themeColor="text1"/>
                <w:sz w:val="20"/>
              </w:rPr>
              <w:t>Harford County</w:t>
            </w:r>
          </w:p>
        </w:tc>
        <w:tc>
          <w:tcPr>
            <w:tcW w:w="2259" w:type="dxa"/>
          </w:tcPr>
          <w:p w14:paraId="2D2A0B00" w14:textId="27BC1E2C" w:rsidR="002C3B86" w:rsidRPr="002C3B86" w:rsidRDefault="002C3B86" w:rsidP="004A75F5">
            <w:pPr>
              <w:spacing w:after="0"/>
              <w:ind w:firstLineChars="100" w:firstLine="200"/>
              <w:jc w:val="center"/>
              <w:cnfStyle w:val="000000010000" w:firstRow="0" w:lastRow="0" w:firstColumn="0" w:lastColumn="0" w:oddVBand="0" w:evenVBand="0" w:oddHBand="0" w:evenHBand="1" w:firstRowFirstColumn="0" w:firstRowLastColumn="0" w:lastRowFirstColumn="0" w:lastRowLastColumn="0"/>
              <w:rPr>
                <w:rFonts w:cs="Calibri"/>
                <w:color w:val="000000" w:themeColor="text1"/>
                <w:sz w:val="20"/>
              </w:rPr>
            </w:pPr>
            <w:r w:rsidRPr="002C3B86">
              <w:rPr>
                <w:rFonts w:cs="Calibri"/>
                <w:color w:val="000000" w:themeColor="text1"/>
                <w:sz w:val="20"/>
              </w:rPr>
              <w:t>12580</w:t>
            </w:r>
          </w:p>
        </w:tc>
      </w:tr>
      <w:tr w:rsidR="002C3B86" w:rsidRPr="002C3B86" w14:paraId="42975CEE" w14:textId="238D16D3" w:rsidTr="004A75F5">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975" w:type="dxa"/>
            <w:vMerge/>
            <w:hideMark/>
          </w:tcPr>
          <w:p w14:paraId="0FD7EC02" w14:textId="77777777" w:rsidR="002C3B86" w:rsidRPr="002C3B86" w:rsidRDefault="002C3B86" w:rsidP="002C3B86">
            <w:pPr>
              <w:spacing w:after="0"/>
              <w:rPr>
                <w:rFonts w:cs="Calibri"/>
                <w:color w:val="000000" w:themeColor="text1"/>
                <w:sz w:val="20"/>
              </w:rPr>
            </w:pPr>
          </w:p>
        </w:tc>
        <w:tc>
          <w:tcPr>
            <w:tcW w:w="1885" w:type="dxa"/>
            <w:noWrap/>
            <w:hideMark/>
          </w:tcPr>
          <w:p w14:paraId="4D778732" w14:textId="77777777" w:rsidR="002C3B86" w:rsidRPr="002C3B86" w:rsidRDefault="002C3B86" w:rsidP="002C3B86">
            <w:pPr>
              <w:spacing w:after="0"/>
              <w:jc w:val="center"/>
              <w:cnfStyle w:val="000000100000" w:firstRow="0" w:lastRow="0" w:firstColumn="0" w:lastColumn="0" w:oddVBand="0" w:evenVBand="0" w:oddHBand="1" w:evenHBand="0" w:firstRowFirstColumn="0" w:firstRowLastColumn="0" w:lastRowFirstColumn="0" w:lastRowLastColumn="0"/>
              <w:rPr>
                <w:rFonts w:cs="Calibri"/>
                <w:color w:val="000000" w:themeColor="text1"/>
                <w:sz w:val="20"/>
              </w:rPr>
            </w:pPr>
            <w:r w:rsidRPr="002C3B86">
              <w:rPr>
                <w:rFonts w:cs="Calibri"/>
                <w:color w:val="000000" w:themeColor="text1"/>
                <w:sz w:val="20"/>
              </w:rPr>
              <w:t>24510</w:t>
            </w:r>
          </w:p>
        </w:tc>
        <w:tc>
          <w:tcPr>
            <w:tcW w:w="2820" w:type="dxa"/>
            <w:noWrap/>
            <w:hideMark/>
          </w:tcPr>
          <w:p w14:paraId="7D8A6D7D" w14:textId="48DC9F3C" w:rsidR="002C3B86" w:rsidRPr="002C3B86" w:rsidRDefault="002C3B86" w:rsidP="002C3B86">
            <w:pPr>
              <w:spacing w:after="0"/>
              <w:ind w:firstLineChars="100" w:firstLine="200"/>
              <w:cnfStyle w:val="000000100000" w:firstRow="0" w:lastRow="0" w:firstColumn="0" w:lastColumn="0" w:oddVBand="0" w:evenVBand="0" w:oddHBand="1" w:evenHBand="0" w:firstRowFirstColumn="0" w:firstRowLastColumn="0" w:lastRowFirstColumn="0" w:lastRowLastColumn="0"/>
              <w:rPr>
                <w:rFonts w:cs="Calibri"/>
                <w:color w:val="000000" w:themeColor="text1"/>
                <w:sz w:val="20"/>
              </w:rPr>
            </w:pPr>
            <w:r w:rsidRPr="002C3B86">
              <w:rPr>
                <w:rFonts w:cs="Calibri"/>
                <w:color w:val="000000" w:themeColor="text1"/>
                <w:sz w:val="20"/>
              </w:rPr>
              <w:t>Baltimore City</w:t>
            </w:r>
          </w:p>
        </w:tc>
        <w:tc>
          <w:tcPr>
            <w:tcW w:w="2259" w:type="dxa"/>
          </w:tcPr>
          <w:p w14:paraId="0AF90FC0" w14:textId="76DE34AE" w:rsidR="002C3B86" w:rsidRPr="002C3B86" w:rsidRDefault="002C3B86" w:rsidP="004A75F5">
            <w:pPr>
              <w:spacing w:after="0"/>
              <w:ind w:firstLineChars="100" w:firstLine="200"/>
              <w:jc w:val="center"/>
              <w:cnfStyle w:val="000000100000" w:firstRow="0" w:lastRow="0" w:firstColumn="0" w:lastColumn="0" w:oddVBand="0" w:evenVBand="0" w:oddHBand="1" w:evenHBand="0" w:firstRowFirstColumn="0" w:firstRowLastColumn="0" w:lastRowFirstColumn="0" w:lastRowLastColumn="0"/>
              <w:rPr>
                <w:rFonts w:cs="Calibri"/>
                <w:color w:val="000000" w:themeColor="text1"/>
                <w:sz w:val="20"/>
              </w:rPr>
            </w:pPr>
            <w:r w:rsidRPr="002C3B86">
              <w:rPr>
                <w:rFonts w:cs="Calibri"/>
                <w:color w:val="000000" w:themeColor="text1"/>
                <w:sz w:val="20"/>
              </w:rPr>
              <w:t>12580</w:t>
            </w:r>
          </w:p>
        </w:tc>
      </w:tr>
      <w:tr w:rsidR="002C3B86" w:rsidRPr="002C3B86" w14:paraId="76E747B4" w14:textId="0EDF8B2F" w:rsidTr="004A75F5">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975" w:type="dxa"/>
            <w:vMerge/>
            <w:hideMark/>
          </w:tcPr>
          <w:p w14:paraId="43D4EE80" w14:textId="77777777" w:rsidR="002C3B86" w:rsidRPr="002C3B86" w:rsidRDefault="002C3B86" w:rsidP="002C3B86">
            <w:pPr>
              <w:spacing w:after="0"/>
              <w:rPr>
                <w:rFonts w:cs="Calibri"/>
                <w:color w:val="000000" w:themeColor="text1"/>
                <w:sz w:val="20"/>
              </w:rPr>
            </w:pPr>
          </w:p>
        </w:tc>
        <w:tc>
          <w:tcPr>
            <w:tcW w:w="1885" w:type="dxa"/>
            <w:noWrap/>
            <w:hideMark/>
          </w:tcPr>
          <w:p w14:paraId="414724F5" w14:textId="77777777" w:rsidR="002C3B86" w:rsidRPr="002C3B86" w:rsidRDefault="002C3B86" w:rsidP="002C3B86">
            <w:pPr>
              <w:spacing w:after="0"/>
              <w:jc w:val="center"/>
              <w:cnfStyle w:val="000000010000" w:firstRow="0" w:lastRow="0" w:firstColumn="0" w:lastColumn="0" w:oddVBand="0" w:evenVBand="0" w:oddHBand="0" w:evenHBand="1" w:firstRowFirstColumn="0" w:firstRowLastColumn="0" w:lastRowFirstColumn="0" w:lastRowLastColumn="0"/>
              <w:rPr>
                <w:rFonts w:cs="Calibri"/>
                <w:color w:val="000000" w:themeColor="text1"/>
                <w:sz w:val="20"/>
              </w:rPr>
            </w:pPr>
            <w:r w:rsidRPr="002C3B86">
              <w:rPr>
                <w:rFonts w:cs="Calibri"/>
                <w:color w:val="000000" w:themeColor="text1"/>
                <w:sz w:val="20"/>
              </w:rPr>
              <w:t>24003</w:t>
            </w:r>
          </w:p>
        </w:tc>
        <w:tc>
          <w:tcPr>
            <w:tcW w:w="2820" w:type="dxa"/>
            <w:noWrap/>
            <w:hideMark/>
          </w:tcPr>
          <w:p w14:paraId="6161903C" w14:textId="52D5958A" w:rsidR="002C3B86" w:rsidRPr="002C3B86" w:rsidRDefault="002C3B86" w:rsidP="002C3B86">
            <w:pPr>
              <w:spacing w:after="0"/>
              <w:ind w:firstLineChars="100" w:firstLine="200"/>
              <w:cnfStyle w:val="000000010000" w:firstRow="0" w:lastRow="0" w:firstColumn="0" w:lastColumn="0" w:oddVBand="0" w:evenVBand="0" w:oddHBand="0" w:evenHBand="1" w:firstRowFirstColumn="0" w:firstRowLastColumn="0" w:lastRowFirstColumn="0" w:lastRowLastColumn="0"/>
              <w:rPr>
                <w:rFonts w:cs="Calibri"/>
                <w:color w:val="000000" w:themeColor="text1"/>
                <w:sz w:val="20"/>
              </w:rPr>
            </w:pPr>
            <w:r w:rsidRPr="002C3B86">
              <w:rPr>
                <w:rFonts w:cs="Calibri"/>
                <w:color w:val="000000" w:themeColor="text1"/>
                <w:sz w:val="20"/>
              </w:rPr>
              <w:t>Anne Arundel County</w:t>
            </w:r>
          </w:p>
        </w:tc>
        <w:tc>
          <w:tcPr>
            <w:tcW w:w="2259" w:type="dxa"/>
          </w:tcPr>
          <w:p w14:paraId="4D6099E6" w14:textId="4597E7FA" w:rsidR="002C3B86" w:rsidRPr="002C3B86" w:rsidRDefault="002C3B86" w:rsidP="004A75F5">
            <w:pPr>
              <w:spacing w:after="0"/>
              <w:ind w:firstLineChars="100" w:firstLine="200"/>
              <w:jc w:val="center"/>
              <w:cnfStyle w:val="000000010000" w:firstRow="0" w:lastRow="0" w:firstColumn="0" w:lastColumn="0" w:oddVBand="0" w:evenVBand="0" w:oddHBand="0" w:evenHBand="1" w:firstRowFirstColumn="0" w:firstRowLastColumn="0" w:lastRowFirstColumn="0" w:lastRowLastColumn="0"/>
              <w:rPr>
                <w:rFonts w:cs="Calibri"/>
                <w:color w:val="000000" w:themeColor="text1"/>
                <w:sz w:val="20"/>
              </w:rPr>
            </w:pPr>
            <w:r w:rsidRPr="002C3B86">
              <w:rPr>
                <w:rFonts w:cs="Calibri"/>
                <w:color w:val="000000" w:themeColor="text1"/>
                <w:sz w:val="20"/>
              </w:rPr>
              <w:t>12580</w:t>
            </w:r>
          </w:p>
        </w:tc>
      </w:tr>
      <w:tr w:rsidR="002C3B86" w:rsidRPr="002C3B86" w14:paraId="17D79703" w14:textId="4DC18395" w:rsidTr="004A75F5">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975" w:type="dxa"/>
            <w:vMerge/>
            <w:hideMark/>
          </w:tcPr>
          <w:p w14:paraId="21B6B28A" w14:textId="77777777" w:rsidR="002C3B86" w:rsidRPr="002C3B86" w:rsidRDefault="002C3B86" w:rsidP="002C3B86">
            <w:pPr>
              <w:spacing w:after="0"/>
              <w:rPr>
                <w:rFonts w:cs="Calibri"/>
                <w:color w:val="FF0000"/>
                <w:sz w:val="20"/>
              </w:rPr>
            </w:pPr>
          </w:p>
        </w:tc>
        <w:tc>
          <w:tcPr>
            <w:tcW w:w="1885" w:type="dxa"/>
            <w:noWrap/>
            <w:hideMark/>
          </w:tcPr>
          <w:p w14:paraId="129D3050" w14:textId="77777777" w:rsidR="002C3B86" w:rsidRPr="002C3B86" w:rsidRDefault="002C3B86" w:rsidP="002C3B86">
            <w:pPr>
              <w:spacing w:after="0"/>
              <w:jc w:val="center"/>
              <w:cnfStyle w:val="000000100000" w:firstRow="0" w:lastRow="0" w:firstColumn="0" w:lastColumn="0" w:oddVBand="0" w:evenVBand="0" w:oddHBand="1" w:evenHBand="0" w:firstRowFirstColumn="0" w:firstRowLastColumn="0" w:lastRowFirstColumn="0" w:lastRowLastColumn="0"/>
              <w:rPr>
                <w:rFonts w:cs="Calibri"/>
                <w:color w:val="000000" w:themeColor="text1"/>
                <w:sz w:val="20"/>
              </w:rPr>
            </w:pPr>
            <w:r w:rsidRPr="002C3B86">
              <w:rPr>
                <w:rFonts w:cs="Calibri"/>
                <w:color w:val="000000" w:themeColor="text1"/>
                <w:sz w:val="20"/>
              </w:rPr>
              <w:t>24013</w:t>
            </w:r>
          </w:p>
        </w:tc>
        <w:tc>
          <w:tcPr>
            <w:tcW w:w="2820" w:type="dxa"/>
            <w:noWrap/>
            <w:hideMark/>
          </w:tcPr>
          <w:p w14:paraId="335325A2" w14:textId="66D6B9AE" w:rsidR="002C3B86" w:rsidRPr="002C3B86" w:rsidRDefault="002C3B86" w:rsidP="002C3B86">
            <w:pPr>
              <w:spacing w:after="0"/>
              <w:ind w:firstLineChars="100" w:firstLine="200"/>
              <w:cnfStyle w:val="000000100000" w:firstRow="0" w:lastRow="0" w:firstColumn="0" w:lastColumn="0" w:oddVBand="0" w:evenVBand="0" w:oddHBand="1" w:evenHBand="0" w:firstRowFirstColumn="0" w:firstRowLastColumn="0" w:lastRowFirstColumn="0" w:lastRowLastColumn="0"/>
              <w:rPr>
                <w:rFonts w:cs="Calibri"/>
                <w:color w:val="000000" w:themeColor="text1"/>
                <w:sz w:val="20"/>
              </w:rPr>
            </w:pPr>
            <w:r w:rsidRPr="002C3B86">
              <w:rPr>
                <w:rFonts w:cs="Calibri"/>
                <w:color w:val="000000" w:themeColor="text1"/>
                <w:sz w:val="20"/>
              </w:rPr>
              <w:t>Carroll County</w:t>
            </w:r>
          </w:p>
        </w:tc>
        <w:tc>
          <w:tcPr>
            <w:tcW w:w="2259" w:type="dxa"/>
          </w:tcPr>
          <w:p w14:paraId="3D445E27" w14:textId="6FAB49E5" w:rsidR="002C3B86" w:rsidRPr="002C3B86" w:rsidRDefault="002C3B86" w:rsidP="004A75F5">
            <w:pPr>
              <w:spacing w:after="0"/>
              <w:ind w:firstLineChars="100" w:firstLine="200"/>
              <w:jc w:val="center"/>
              <w:cnfStyle w:val="000000100000" w:firstRow="0" w:lastRow="0" w:firstColumn="0" w:lastColumn="0" w:oddVBand="0" w:evenVBand="0" w:oddHBand="1" w:evenHBand="0" w:firstRowFirstColumn="0" w:firstRowLastColumn="0" w:lastRowFirstColumn="0" w:lastRowLastColumn="0"/>
              <w:rPr>
                <w:rFonts w:cs="Calibri"/>
                <w:color w:val="000000" w:themeColor="text1"/>
                <w:sz w:val="20"/>
              </w:rPr>
            </w:pPr>
            <w:r w:rsidRPr="002C3B86">
              <w:rPr>
                <w:rFonts w:cs="Calibri"/>
                <w:color w:val="000000" w:themeColor="text1"/>
                <w:sz w:val="20"/>
              </w:rPr>
              <w:t>12580</w:t>
            </w:r>
          </w:p>
        </w:tc>
      </w:tr>
      <w:tr w:rsidR="002C3B86" w:rsidRPr="002C3B86" w14:paraId="4A994019" w14:textId="561D7D79" w:rsidTr="004A75F5">
        <w:trPr>
          <w:cnfStyle w:val="000000010000" w:firstRow="0" w:lastRow="0" w:firstColumn="0" w:lastColumn="0" w:oddVBand="0" w:evenVBand="0" w:oddHBand="0" w:evenHBand="1"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1975" w:type="dxa"/>
            <w:vMerge/>
            <w:hideMark/>
          </w:tcPr>
          <w:p w14:paraId="44C91BCA" w14:textId="77777777" w:rsidR="002C3B86" w:rsidRPr="002C3B86" w:rsidRDefault="002C3B86" w:rsidP="002C3B86">
            <w:pPr>
              <w:spacing w:after="0"/>
              <w:rPr>
                <w:rFonts w:cs="Calibri"/>
                <w:color w:val="FF0000"/>
                <w:sz w:val="20"/>
              </w:rPr>
            </w:pPr>
          </w:p>
        </w:tc>
        <w:tc>
          <w:tcPr>
            <w:tcW w:w="1885" w:type="dxa"/>
            <w:noWrap/>
            <w:hideMark/>
          </w:tcPr>
          <w:p w14:paraId="02429A75" w14:textId="77777777" w:rsidR="002C3B86" w:rsidRPr="002C3B86" w:rsidRDefault="002C3B86" w:rsidP="002C3B86">
            <w:pPr>
              <w:spacing w:after="0"/>
              <w:jc w:val="center"/>
              <w:cnfStyle w:val="000000010000" w:firstRow="0" w:lastRow="0" w:firstColumn="0" w:lastColumn="0" w:oddVBand="0" w:evenVBand="0" w:oddHBand="0" w:evenHBand="1" w:firstRowFirstColumn="0" w:firstRowLastColumn="0" w:lastRowFirstColumn="0" w:lastRowLastColumn="0"/>
              <w:rPr>
                <w:rFonts w:cs="Calibri"/>
                <w:color w:val="000000" w:themeColor="text1"/>
                <w:sz w:val="20"/>
              </w:rPr>
            </w:pPr>
            <w:r w:rsidRPr="002C3B86">
              <w:rPr>
                <w:rFonts w:cs="Calibri"/>
                <w:color w:val="000000" w:themeColor="text1"/>
                <w:sz w:val="20"/>
              </w:rPr>
              <w:t>24027</w:t>
            </w:r>
          </w:p>
        </w:tc>
        <w:tc>
          <w:tcPr>
            <w:tcW w:w="2820" w:type="dxa"/>
            <w:noWrap/>
            <w:hideMark/>
          </w:tcPr>
          <w:p w14:paraId="502C327A" w14:textId="569E2D4A" w:rsidR="002C3B86" w:rsidRPr="002C3B86" w:rsidRDefault="002C3B86" w:rsidP="002C3B86">
            <w:pPr>
              <w:spacing w:after="0"/>
              <w:ind w:firstLineChars="100" w:firstLine="200"/>
              <w:cnfStyle w:val="000000010000" w:firstRow="0" w:lastRow="0" w:firstColumn="0" w:lastColumn="0" w:oddVBand="0" w:evenVBand="0" w:oddHBand="0" w:evenHBand="1" w:firstRowFirstColumn="0" w:firstRowLastColumn="0" w:lastRowFirstColumn="0" w:lastRowLastColumn="0"/>
              <w:rPr>
                <w:rFonts w:cs="Calibri"/>
                <w:color w:val="000000" w:themeColor="text1"/>
                <w:sz w:val="20"/>
              </w:rPr>
            </w:pPr>
            <w:r w:rsidRPr="002C3B86">
              <w:rPr>
                <w:rFonts w:cs="Calibri"/>
                <w:color w:val="000000" w:themeColor="text1"/>
                <w:sz w:val="20"/>
              </w:rPr>
              <w:t>Howard County</w:t>
            </w:r>
          </w:p>
        </w:tc>
        <w:tc>
          <w:tcPr>
            <w:tcW w:w="2259" w:type="dxa"/>
          </w:tcPr>
          <w:p w14:paraId="6CD35C58" w14:textId="193EBB7F" w:rsidR="002C3B86" w:rsidRPr="002C3B86" w:rsidRDefault="002C3B86" w:rsidP="004A75F5">
            <w:pPr>
              <w:spacing w:after="0"/>
              <w:ind w:firstLineChars="100" w:firstLine="200"/>
              <w:jc w:val="center"/>
              <w:cnfStyle w:val="000000010000" w:firstRow="0" w:lastRow="0" w:firstColumn="0" w:lastColumn="0" w:oddVBand="0" w:evenVBand="0" w:oddHBand="0" w:evenHBand="1" w:firstRowFirstColumn="0" w:firstRowLastColumn="0" w:lastRowFirstColumn="0" w:lastRowLastColumn="0"/>
              <w:rPr>
                <w:rFonts w:cs="Calibri"/>
                <w:color w:val="000000" w:themeColor="text1"/>
                <w:sz w:val="20"/>
              </w:rPr>
            </w:pPr>
            <w:r w:rsidRPr="002C3B86">
              <w:rPr>
                <w:rFonts w:cs="Calibri"/>
                <w:color w:val="000000" w:themeColor="text1"/>
                <w:sz w:val="20"/>
              </w:rPr>
              <w:t>12580</w:t>
            </w:r>
          </w:p>
        </w:tc>
      </w:tr>
    </w:tbl>
    <w:p w14:paraId="3E346EB7" w14:textId="3391B615" w:rsidR="00CD458E" w:rsidRPr="005C13A5" w:rsidRDefault="00CD458E" w:rsidP="004A75F5">
      <w:pPr>
        <w:pStyle w:val="BodyText"/>
        <w:ind w:left="180" w:right="180"/>
        <w:rPr>
          <w:rFonts w:ascii="Arial Narrow" w:hAnsi="Arial Narrow"/>
          <w:sz w:val="18"/>
          <w:szCs w:val="18"/>
        </w:rPr>
      </w:pPr>
      <w:r w:rsidRPr="005C13A5">
        <w:rPr>
          <w:rFonts w:ascii="Arial Narrow" w:hAnsi="Arial Narrow"/>
          <w:b/>
          <w:bCs/>
          <w:sz w:val="18"/>
          <w:szCs w:val="18"/>
        </w:rPr>
        <w:t>Note:</w:t>
      </w:r>
      <w:r w:rsidRPr="005C13A5">
        <w:rPr>
          <w:rFonts w:ascii="Arial Narrow" w:hAnsi="Arial Narrow"/>
          <w:sz w:val="18"/>
          <w:szCs w:val="18"/>
        </w:rPr>
        <w:t xml:space="preserve"> Some MD counties were moved from their original MSAs when redistributing counties into the </w:t>
      </w:r>
      <w:r w:rsidR="004A75F5" w:rsidRPr="005C13A5">
        <w:rPr>
          <w:rFonts w:ascii="Arial Narrow" w:hAnsi="Arial Narrow"/>
          <w:sz w:val="18"/>
          <w:szCs w:val="18"/>
        </w:rPr>
        <w:t>f</w:t>
      </w:r>
      <w:r w:rsidRPr="005C13A5">
        <w:rPr>
          <w:rFonts w:ascii="Arial Narrow" w:hAnsi="Arial Narrow"/>
          <w:sz w:val="18"/>
          <w:szCs w:val="18"/>
        </w:rPr>
        <w:t xml:space="preserve">ive MD regions. </w:t>
      </w:r>
      <w:r w:rsidR="004A75F5" w:rsidRPr="005C13A5">
        <w:rPr>
          <w:rFonts w:ascii="Arial Narrow" w:hAnsi="Arial Narrow"/>
          <w:sz w:val="18"/>
          <w:szCs w:val="18"/>
        </w:rPr>
        <w:t xml:space="preserve">The recategorizations were determined in conjunction with HSCRC based on geographic and economic </w:t>
      </w:r>
      <w:r w:rsidR="00530333" w:rsidRPr="005C13A5">
        <w:rPr>
          <w:rFonts w:ascii="Arial Narrow" w:hAnsi="Arial Narrow"/>
          <w:sz w:val="18"/>
          <w:szCs w:val="18"/>
        </w:rPr>
        <w:t>similarities</w:t>
      </w:r>
      <w:r w:rsidR="004A75F5" w:rsidRPr="005C13A5">
        <w:rPr>
          <w:rFonts w:ascii="Arial Narrow" w:hAnsi="Arial Narrow"/>
          <w:sz w:val="18"/>
          <w:szCs w:val="18"/>
        </w:rPr>
        <w:t xml:space="preserve">. </w:t>
      </w:r>
      <w:r w:rsidRPr="005C13A5">
        <w:rPr>
          <w:rFonts w:ascii="Arial Narrow" w:hAnsi="Arial Narrow"/>
          <w:sz w:val="18"/>
          <w:szCs w:val="18"/>
        </w:rPr>
        <w:t xml:space="preserve"> </w:t>
      </w:r>
    </w:p>
    <w:p w14:paraId="72E7D4D7" w14:textId="0F07AA59" w:rsidR="00897C95" w:rsidRDefault="00897C95" w:rsidP="00897C95">
      <w:pPr>
        <w:pStyle w:val="Heading2"/>
      </w:pPr>
      <w:bookmarkStart w:id="6" w:name="_Toc35363776"/>
      <w:r>
        <w:t>Compile C</w:t>
      </w:r>
      <w:r w:rsidR="005A0B5E" w:rsidRPr="00B50E19">
        <w:t>haracteristics</w:t>
      </w:r>
      <w:r>
        <w:t xml:space="preserve"> for Selecting Benchmarks Communities</w:t>
      </w:r>
      <w:bookmarkEnd w:id="6"/>
    </w:p>
    <w:p w14:paraId="2F32EF43" w14:textId="055A68EF" w:rsidR="006D7AEF" w:rsidRDefault="00FE480D" w:rsidP="00FE480D">
      <w:pPr>
        <w:pStyle w:val="BodyText"/>
      </w:pPr>
      <w:r>
        <w:t xml:space="preserve">The geographic characteristics used to describe the potential benchmark MSAs and the MD regions are listed in </w:t>
      </w:r>
      <w:r w:rsidRPr="00FE480D">
        <w:rPr>
          <w:b/>
          <w:bCs/>
        </w:rPr>
        <w:t>Exhibit 2</w:t>
      </w:r>
      <w:r>
        <w:t xml:space="preserve">. </w:t>
      </w:r>
      <w:r w:rsidR="005F4671">
        <w:t>The characteristics were selected to account for existing economic and health differences across regions that would affect health care costs and utilization levels and trends</w:t>
      </w:r>
      <w:r w:rsidR="00EA6CF5">
        <w:t xml:space="preserve"> of the commercially covered population</w:t>
      </w:r>
      <w:r w:rsidR="005F4671">
        <w:t xml:space="preserve">. </w:t>
      </w:r>
      <w:r w:rsidR="009833D8">
        <w:t>Where possible, we used similar characteristics as finalized by the Medicare benchmarking effort</w:t>
      </w:r>
      <w:r w:rsidR="003B0825">
        <w:t xml:space="preserve">. </w:t>
      </w:r>
    </w:p>
    <w:p w14:paraId="2581424E" w14:textId="6D6FF57B" w:rsidR="002849F4" w:rsidRDefault="005A0B5E" w:rsidP="00C9189A">
      <w:pPr>
        <w:pStyle w:val="Caption"/>
      </w:pPr>
      <w:r>
        <w:t>Exhibit</w:t>
      </w:r>
      <w:r w:rsidR="008C58D9">
        <w:t xml:space="preserve"> </w:t>
      </w:r>
      <w:r w:rsidR="008870FC">
        <w:t>2</w:t>
      </w:r>
      <w:r>
        <w:t>.</w:t>
      </w:r>
      <w:r>
        <w:tab/>
      </w:r>
      <w:r w:rsidR="00687359">
        <w:t>Geographic</w:t>
      </w:r>
      <w:r>
        <w:t xml:space="preserve"> Characteristics</w:t>
      </w:r>
      <w:r w:rsidR="00687359">
        <w:t xml:space="preserve"> Used to Select Benchmark MSAs</w:t>
      </w:r>
    </w:p>
    <w:tbl>
      <w:tblPr>
        <w:tblStyle w:val="TableGrid"/>
        <w:tblW w:w="0" w:type="auto"/>
        <w:tblLook w:val="04A0" w:firstRow="1" w:lastRow="0" w:firstColumn="1" w:lastColumn="0" w:noHBand="0" w:noVBand="1"/>
      </w:tblPr>
      <w:tblGrid>
        <w:gridCol w:w="5395"/>
        <w:gridCol w:w="1791"/>
        <w:gridCol w:w="2164"/>
      </w:tblGrid>
      <w:tr w:rsidR="004A75F5" w:rsidRPr="00E46FC2" w14:paraId="6AB3B3B6" w14:textId="482F6BEB" w:rsidTr="00AC5EA7">
        <w:trPr>
          <w:trHeight w:val="352"/>
        </w:trPr>
        <w:tc>
          <w:tcPr>
            <w:tcW w:w="5395" w:type="dxa"/>
            <w:shd w:val="clear" w:color="auto" w:fill="48A9C5" w:themeFill="text2"/>
          </w:tcPr>
          <w:p w14:paraId="721FBE22" w14:textId="51D39607" w:rsidR="004A75F5" w:rsidRPr="00E46FC2" w:rsidRDefault="004A75F5" w:rsidP="00647E0B">
            <w:pPr>
              <w:spacing w:after="0"/>
              <w:rPr>
                <w:rFonts w:ascii="Arial Narrow" w:hAnsi="Arial Narrow"/>
                <w:b/>
                <w:color w:val="FFFFFF" w:themeColor="background1"/>
                <w:sz w:val="20"/>
              </w:rPr>
            </w:pPr>
            <w:r>
              <w:rPr>
                <w:rFonts w:ascii="Arial Narrow" w:hAnsi="Arial Narrow"/>
                <w:b/>
                <w:color w:val="FFFFFF" w:themeColor="background1"/>
                <w:sz w:val="20"/>
              </w:rPr>
              <w:t>Characteristic</w:t>
            </w:r>
          </w:p>
        </w:tc>
        <w:tc>
          <w:tcPr>
            <w:tcW w:w="1791" w:type="dxa"/>
            <w:shd w:val="clear" w:color="auto" w:fill="48A9C5" w:themeFill="text2"/>
          </w:tcPr>
          <w:p w14:paraId="46CE12CA" w14:textId="77777777" w:rsidR="004A75F5" w:rsidRPr="00E46FC2" w:rsidRDefault="004A75F5" w:rsidP="00647E0B">
            <w:pPr>
              <w:spacing w:after="0"/>
              <w:rPr>
                <w:rFonts w:ascii="Arial Narrow" w:hAnsi="Arial Narrow"/>
                <w:b/>
                <w:color w:val="FFFFFF" w:themeColor="background1"/>
                <w:sz w:val="20"/>
              </w:rPr>
            </w:pPr>
            <w:r w:rsidRPr="00E46FC2">
              <w:rPr>
                <w:rFonts w:ascii="Arial Narrow" w:hAnsi="Arial Narrow"/>
                <w:b/>
                <w:color w:val="FFFFFF" w:themeColor="background1"/>
                <w:sz w:val="20"/>
              </w:rPr>
              <w:t>Data Source</w:t>
            </w:r>
          </w:p>
        </w:tc>
        <w:tc>
          <w:tcPr>
            <w:tcW w:w="2164" w:type="dxa"/>
            <w:shd w:val="clear" w:color="auto" w:fill="48A9C5" w:themeFill="text2"/>
          </w:tcPr>
          <w:p w14:paraId="5E4BE831" w14:textId="5F09C5C9" w:rsidR="004A75F5" w:rsidRPr="00E46FC2" w:rsidRDefault="004A75F5" w:rsidP="00647E0B">
            <w:pPr>
              <w:spacing w:after="0"/>
              <w:rPr>
                <w:rFonts w:ascii="Arial Narrow" w:hAnsi="Arial Narrow"/>
                <w:b/>
                <w:color w:val="FFFFFF" w:themeColor="background1"/>
                <w:sz w:val="20"/>
              </w:rPr>
            </w:pPr>
            <w:r>
              <w:rPr>
                <w:rFonts w:ascii="Arial Narrow" w:hAnsi="Arial Narrow"/>
                <w:b/>
                <w:color w:val="FFFFFF" w:themeColor="background1"/>
                <w:sz w:val="20"/>
              </w:rPr>
              <w:t>Geographic Unit Used</w:t>
            </w:r>
          </w:p>
        </w:tc>
      </w:tr>
      <w:tr w:rsidR="004A75F5" w:rsidRPr="00E46FC2" w14:paraId="3B9AEE1A" w14:textId="21178721" w:rsidTr="00AC5EA7">
        <w:trPr>
          <w:trHeight w:val="360"/>
        </w:trPr>
        <w:tc>
          <w:tcPr>
            <w:tcW w:w="5395" w:type="dxa"/>
            <w:vAlign w:val="center"/>
          </w:tcPr>
          <w:p w14:paraId="0B022F47" w14:textId="0C073848" w:rsidR="004A75F5" w:rsidRPr="005F4671" w:rsidRDefault="004A75F5" w:rsidP="00647E0B">
            <w:pPr>
              <w:spacing w:after="0"/>
              <w:rPr>
                <w:rFonts w:ascii="Arial Narrow" w:hAnsi="Arial Narrow" w:cs="Calibri"/>
                <w:color w:val="000000"/>
                <w:sz w:val="20"/>
              </w:rPr>
            </w:pPr>
            <w:r w:rsidRPr="005F4671">
              <w:rPr>
                <w:rFonts w:ascii="Arial Narrow" w:hAnsi="Arial Narrow" w:cs="Calibri"/>
                <w:b/>
                <w:bCs/>
                <w:color w:val="000000"/>
                <w:sz w:val="20"/>
              </w:rPr>
              <w:t xml:space="preserve">Total </w:t>
            </w:r>
            <w:r>
              <w:rPr>
                <w:rFonts w:ascii="Arial Narrow" w:hAnsi="Arial Narrow" w:cs="Calibri"/>
                <w:b/>
                <w:bCs/>
                <w:color w:val="000000"/>
                <w:sz w:val="20"/>
              </w:rPr>
              <w:t>p</w:t>
            </w:r>
            <w:r w:rsidRPr="005F4671">
              <w:rPr>
                <w:rFonts w:ascii="Arial Narrow" w:hAnsi="Arial Narrow" w:cs="Calibri"/>
                <w:b/>
                <w:bCs/>
                <w:color w:val="000000"/>
                <w:sz w:val="20"/>
              </w:rPr>
              <w:t>opulation</w:t>
            </w:r>
            <w:r>
              <w:rPr>
                <w:rFonts w:ascii="Arial Narrow" w:hAnsi="Arial Narrow" w:cs="Calibri"/>
                <w:b/>
                <w:bCs/>
                <w:color w:val="000000"/>
                <w:sz w:val="20"/>
              </w:rPr>
              <w:t xml:space="preserve">: </w:t>
            </w:r>
            <w:r>
              <w:rPr>
                <w:rFonts w:ascii="Arial Narrow" w:hAnsi="Arial Narrow" w:cs="Calibri"/>
                <w:color w:val="000000"/>
                <w:sz w:val="20"/>
              </w:rPr>
              <w:t>Total U.S. population</w:t>
            </w:r>
          </w:p>
        </w:tc>
        <w:tc>
          <w:tcPr>
            <w:tcW w:w="1791" w:type="dxa"/>
            <w:vAlign w:val="center"/>
          </w:tcPr>
          <w:p w14:paraId="6DDC6851" w14:textId="423E2790" w:rsidR="004A75F5" w:rsidRPr="00E46FC2" w:rsidRDefault="004A75F5" w:rsidP="00647E0B">
            <w:pPr>
              <w:spacing w:after="0"/>
              <w:rPr>
                <w:rFonts w:ascii="Arial Narrow" w:hAnsi="Arial Narrow"/>
                <w:sz w:val="20"/>
              </w:rPr>
            </w:pPr>
            <w:r>
              <w:rPr>
                <w:rFonts w:ascii="Arial Narrow" w:hAnsi="Arial Narrow"/>
                <w:sz w:val="20"/>
              </w:rPr>
              <w:t>ACS,</w:t>
            </w:r>
            <w:r w:rsidRPr="009143D9">
              <w:rPr>
                <w:rFonts w:ascii="Arial Narrow" w:hAnsi="Arial Narrow"/>
                <w:sz w:val="20"/>
              </w:rPr>
              <w:t xml:space="preserve"> 2013-2017 5-Year Estimates</w:t>
            </w:r>
          </w:p>
        </w:tc>
        <w:tc>
          <w:tcPr>
            <w:tcW w:w="2164" w:type="dxa"/>
            <w:vAlign w:val="center"/>
          </w:tcPr>
          <w:p w14:paraId="5A6F4938" w14:textId="7A1E7165" w:rsidR="004A75F5" w:rsidRDefault="004A75F5" w:rsidP="00AC5EA7">
            <w:pPr>
              <w:spacing w:after="0"/>
              <w:rPr>
                <w:rFonts w:ascii="Arial Narrow" w:hAnsi="Arial Narrow"/>
                <w:sz w:val="20"/>
              </w:rPr>
            </w:pPr>
            <w:r>
              <w:rPr>
                <w:rFonts w:ascii="Arial Narrow" w:hAnsi="Arial Narrow"/>
                <w:sz w:val="20"/>
              </w:rPr>
              <w:t>MSA for non-MD</w:t>
            </w:r>
          </w:p>
          <w:p w14:paraId="1EA7C2F9" w14:textId="2710F9F3" w:rsidR="004A75F5" w:rsidRDefault="004A75F5" w:rsidP="00AC5EA7">
            <w:pPr>
              <w:spacing w:after="0"/>
              <w:rPr>
                <w:rFonts w:ascii="Arial Narrow" w:hAnsi="Arial Narrow"/>
                <w:sz w:val="20"/>
              </w:rPr>
            </w:pPr>
            <w:r>
              <w:rPr>
                <w:rFonts w:ascii="Arial Narrow" w:hAnsi="Arial Narrow"/>
                <w:sz w:val="20"/>
              </w:rPr>
              <w:t>County for MD</w:t>
            </w:r>
          </w:p>
        </w:tc>
      </w:tr>
      <w:tr w:rsidR="004A75F5" w:rsidRPr="00E46FC2" w14:paraId="36D2F470" w14:textId="24EF96F6" w:rsidTr="00AC5EA7">
        <w:trPr>
          <w:trHeight w:val="370"/>
        </w:trPr>
        <w:tc>
          <w:tcPr>
            <w:tcW w:w="5395" w:type="dxa"/>
            <w:vAlign w:val="center"/>
          </w:tcPr>
          <w:p w14:paraId="41AD2CE5" w14:textId="19705952" w:rsidR="004A75F5" w:rsidRPr="00E46FC2" w:rsidRDefault="004A75F5" w:rsidP="009C5D69">
            <w:pPr>
              <w:spacing w:after="0"/>
              <w:rPr>
                <w:rFonts w:ascii="Arial Narrow" w:hAnsi="Arial Narrow" w:cs="Calibri"/>
                <w:color w:val="000000"/>
                <w:sz w:val="20"/>
              </w:rPr>
            </w:pPr>
            <w:r w:rsidRPr="005F4671">
              <w:rPr>
                <w:rFonts w:ascii="Arial Narrow" w:hAnsi="Arial Narrow" w:cs="Calibri"/>
                <w:b/>
                <w:bCs/>
                <w:color w:val="000000"/>
                <w:sz w:val="20"/>
              </w:rPr>
              <w:t xml:space="preserve">Population </w:t>
            </w:r>
            <w:r>
              <w:rPr>
                <w:rFonts w:ascii="Arial Narrow" w:hAnsi="Arial Narrow" w:cs="Calibri"/>
                <w:b/>
                <w:bCs/>
                <w:color w:val="000000"/>
                <w:sz w:val="20"/>
              </w:rPr>
              <w:t>d</w:t>
            </w:r>
            <w:r w:rsidRPr="005F4671">
              <w:rPr>
                <w:rFonts w:ascii="Arial Narrow" w:hAnsi="Arial Narrow" w:cs="Calibri"/>
                <w:b/>
                <w:bCs/>
                <w:color w:val="000000"/>
                <w:sz w:val="20"/>
              </w:rPr>
              <w:t xml:space="preserve">ensity: </w:t>
            </w:r>
            <w:r w:rsidRPr="009143D9">
              <w:rPr>
                <w:rFonts w:ascii="Arial Narrow" w:hAnsi="Arial Narrow"/>
                <w:sz w:val="20"/>
              </w:rPr>
              <w:t xml:space="preserve">Total </w:t>
            </w:r>
            <w:r>
              <w:rPr>
                <w:rFonts w:ascii="Arial Narrow" w:hAnsi="Arial Narrow"/>
                <w:sz w:val="20"/>
              </w:rPr>
              <w:t>p</w:t>
            </w:r>
            <w:r w:rsidRPr="009143D9">
              <w:rPr>
                <w:rFonts w:ascii="Arial Narrow" w:hAnsi="Arial Narrow"/>
                <w:sz w:val="20"/>
              </w:rPr>
              <w:t xml:space="preserve">opulation divided </w:t>
            </w:r>
            <w:r>
              <w:rPr>
                <w:rFonts w:ascii="Arial Narrow" w:hAnsi="Arial Narrow"/>
                <w:sz w:val="20"/>
              </w:rPr>
              <w:t xml:space="preserve">obtained </w:t>
            </w:r>
            <w:r w:rsidRPr="009143D9">
              <w:rPr>
                <w:rFonts w:ascii="Arial Narrow" w:hAnsi="Arial Narrow"/>
                <w:sz w:val="20"/>
              </w:rPr>
              <w:t>from the 2010 Census</w:t>
            </w:r>
            <w:r>
              <w:rPr>
                <w:rFonts w:ascii="Arial Narrow" w:hAnsi="Arial Narrow"/>
                <w:sz w:val="20"/>
              </w:rPr>
              <w:t xml:space="preserve"> data divided by the land area</w:t>
            </w:r>
          </w:p>
        </w:tc>
        <w:tc>
          <w:tcPr>
            <w:tcW w:w="1791" w:type="dxa"/>
            <w:vAlign w:val="center"/>
          </w:tcPr>
          <w:p w14:paraId="2BA011AD" w14:textId="507A3815" w:rsidR="004A75F5" w:rsidRPr="00E46FC2" w:rsidRDefault="004A75F5" w:rsidP="00647E0B">
            <w:pPr>
              <w:spacing w:after="0"/>
              <w:rPr>
                <w:rFonts w:ascii="Arial Narrow" w:hAnsi="Arial Narrow"/>
                <w:sz w:val="20"/>
              </w:rPr>
            </w:pPr>
            <w:r w:rsidRPr="009143D9">
              <w:rPr>
                <w:rFonts w:ascii="Arial Narrow" w:hAnsi="Arial Narrow"/>
                <w:sz w:val="20"/>
              </w:rPr>
              <w:t>ACS, 2013-2017 5-Year Estimates</w:t>
            </w:r>
          </w:p>
        </w:tc>
        <w:tc>
          <w:tcPr>
            <w:tcW w:w="2164" w:type="dxa"/>
            <w:vAlign w:val="center"/>
          </w:tcPr>
          <w:p w14:paraId="1EC69D47" w14:textId="77777777" w:rsidR="00AC5EA7" w:rsidRDefault="00AC5EA7" w:rsidP="00AC5EA7">
            <w:pPr>
              <w:spacing w:after="0"/>
              <w:rPr>
                <w:rFonts w:ascii="Arial Narrow" w:hAnsi="Arial Narrow"/>
                <w:sz w:val="20"/>
              </w:rPr>
            </w:pPr>
            <w:r>
              <w:rPr>
                <w:rFonts w:ascii="Arial Narrow" w:hAnsi="Arial Narrow"/>
                <w:sz w:val="20"/>
              </w:rPr>
              <w:t>MSA for non-MD</w:t>
            </w:r>
          </w:p>
          <w:p w14:paraId="167F204E" w14:textId="448C7B9E" w:rsidR="004A75F5" w:rsidRPr="009143D9" w:rsidRDefault="00AC5EA7" w:rsidP="00AC5EA7">
            <w:pPr>
              <w:spacing w:after="0"/>
              <w:rPr>
                <w:rFonts w:ascii="Arial Narrow" w:hAnsi="Arial Narrow"/>
                <w:sz w:val="20"/>
              </w:rPr>
            </w:pPr>
            <w:r>
              <w:rPr>
                <w:rFonts w:ascii="Arial Narrow" w:hAnsi="Arial Narrow"/>
                <w:sz w:val="20"/>
              </w:rPr>
              <w:t>County for MD</w:t>
            </w:r>
          </w:p>
        </w:tc>
      </w:tr>
      <w:tr w:rsidR="004A75F5" w:rsidRPr="00E46FC2" w14:paraId="71B8A010" w14:textId="26070802" w:rsidTr="00AC5EA7">
        <w:trPr>
          <w:trHeight w:val="360"/>
        </w:trPr>
        <w:tc>
          <w:tcPr>
            <w:tcW w:w="5395" w:type="dxa"/>
            <w:vAlign w:val="center"/>
          </w:tcPr>
          <w:p w14:paraId="55F83751" w14:textId="76CB5254" w:rsidR="004A75F5" w:rsidRPr="00E46FC2" w:rsidRDefault="004A75F5" w:rsidP="00647E0B">
            <w:pPr>
              <w:spacing w:after="0"/>
              <w:rPr>
                <w:rFonts w:ascii="Arial Narrow" w:hAnsi="Arial Narrow" w:cs="Calibri"/>
                <w:color w:val="000000"/>
                <w:sz w:val="20"/>
              </w:rPr>
            </w:pPr>
            <w:r w:rsidRPr="007634B6">
              <w:rPr>
                <w:rFonts w:ascii="Arial Narrow" w:hAnsi="Arial Narrow" w:cs="Calibri"/>
                <w:b/>
                <w:bCs/>
                <w:color w:val="000000"/>
                <w:sz w:val="20"/>
              </w:rPr>
              <w:t>Median income:</w:t>
            </w:r>
            <w:r>
              <w:rPr>
                <w:rFonts w:ascii="Arial Narrow" w:hAnsi="Arial Narrow" w:cs="Calibri"/>
                <w:color w:val="000000"/>
                <w:sz w:val="20"/>
              </w:rPr>
              <w:t xml:space="preserve"> median household income</w:t>
            </w:r>
          </w:p>
        </w:tc>
        <w:tc>
          <w:tcPr>
            <w:tcW w:w="1791" w:type="dxa"/>
            <w:vAlign w:val="center"/>
          </w:tcPr>
          <w:p w14:paraId="2E6EF4F8" w14:textId="77777777" w:rsidR="004A75F5" w:rsidRPr="00E46FC2" w:rsidRDefault="004A75F5" w:rsidP="00647E0B">
            <w:pPr>
              <w:spacing w:after="0"/>
              <w:rPr>
                <w:rFonts w:ascii="Arial Narrow" w:hAnsi="Arial Narrow"/>
                <w:sz w:val="20"/>
              </w:rPr>
            </w:pPr>
            <w:r w:rsidRPr="009143D9">
              <w:rPr>
                <w:rFonts w:ascii="Arial Narrow" w:hAnsi="Arial Narrow"/>
                <w:sz w:val="20"/>
              </w:rPr>
              <w:t>ACS, 2013-2017 5-Year Estimates</w:t>
            </w:r>
          </w:p>
        </w:tc>
        <w:tc>
          <w:tcPr>
            <w:tcW w:w="2164" w:type="dxa"/>
            <w:vAlign w:val="center"/>
          </w:tcPr>
          <w:p w14:paraId="5C6F3988" w14:textId="77777777" w:rsidR="00AC5EA7" w:rsidRDefault="00AC5EA7" w:rsidP="00AC5EA7">
            <w:pPr>
              <w:spacing w:after="0"/>
              <w:rPr>
                <w:rFonts w:ascii="Arial Narrow" w:hAnsi="Arial Narrow"/>
                <w:sz w:val="20"/>
              </w:rPr>
            </w:pPr>
            <w:r>
              <w:rPr>
                <w:rFonts w:ascii="Arial Narrow" w:hAnsi="Arial Narrow"/>
                <w:sz w:val="20"/>
              </w:rPr>
              <w:t>MSA for non-MD</w:t>
            </w:r>
          </w:p>
          <w:p w14:paraId="76CB0CFD" w14:textId="31FF0E25" w:rsidR="004A75F5" w:rsidRPr="009143D9" w:rsidRDefault="00AC5EA7" w:rsidP="00AC5EA7">
            <w:pPr>
              <w:spacing w:after="0"/>
              <w:rPr>
                <w:rFonts w:ascii="Arial Narrow" w:hAnsi="Arial Narrow"/>
                <w:sz w:val="20"/>
              </w:rPr>
            </w:pPr>
            <w:r>
              <w:rPr>
                <w:rFonts w:ascii="Arial Narrow" w:hAnsi="Arial Narrow"/>
                <w:sz w:val="20"/>
              </w:rPr>
              <w:t>County for MD</w:t>
            </w:r>
          </w:p>
        </w:tc>
      </w:tr>
      <w:tr w:rsidR="004A75F5" w:rsidRPr="00E46FC2" w14:paraId="15AE35DA" w14:textId="66BE4510" w:rsidTr="00AC5EA7">
        <w:trPr>
          <w:trHeight w:val="360"/>
        </w:trPr>
        <w:tc>
          <w:tcPr>
            <w:tcW w:w="5395" w:type="dxa"/>
            <w:vAlign w:val="center"/>
          </w:tcPr>
          <w:p w14:paraId="52E17B13" w14:textId="4F97D567" w:rsidR="004A75F5" w:rsidRPr="005F4671" w:rsidRDefault="004A75F5" w:rsidP="00647E0B">
            <w:pPr>
              <w:spacing w:after="0"/>
              <w:rPr>
                <w:rFonts w:ascii="Arial Narrow" w:hAnsi="Arial Narrow" w:cs="Calibri"/>
                <w:color w:val="000000"/>
                <w:sz w:val="20"/>
              </w:rPr>
            </w:pPr>
            <w:r w:rsidRPr="005F4671">
              <w:rPr>
                <w:rFonts w:ascii="Arial Narrow" w:hAnsi="Arial Narrow" w:cs="Calibri"/>
                <w:b/>
                <w:bCs/>
                <w:color w:val="000000"/>
                <w:sz w:val="20"/>
              </w:rPr>
              <w:t>Deep poverty percentage</w:t>
            </w:r>
            <w:r>
              <w:rPr>
                <w:rFonts w:ascii="Arial Narrow" w:hAnsi="Arial Narrow" w:cs="Calibri"/>
                <w:color w:val="000000"/>
                <w:sz w:val="20"/>
              </w:rPr>
              <w:t>: percentage of the population living in a household with total income below 50 percent of its poverty threshold</w:t>
            </w:r>
          </w:p>
        </w:tc>
        <w:tc>
          <w:tcPr>
            <w:tcW w:w="1791" w:type="dxa"/>
            <w:vAlign w:val="center"/>
          </w:tcPr>
          <w:p w14:paraId="2F3B6C15" w14:textId="58DCCF0F" w:rsidR="004A75F5" w:rsidRPr="00E46FC2" w:rsidRDefault="004A75F5" w:rsidP="00647E0B">
            <w:pPr>
              <w:spacing w:after="0"/>
              <w:rPr>
                <w:rFonts w:ascii="Arial Narrow" w:hAnsi="Arial Narrow"/>
                <w:sz w:val="20"/>
              </w:rPr>
            </w:pPr>
            <w:r w:rsidRPr="009143D9">
              <w:rPr>
                <w:rFonts w:ascii="Arial Narrow" w:hAnsi="Arial Narrow"/>
                <w:sz w:val="20"/>
              </w:rPr>
              <w:t>ACS, 2013-2017 5-Year Estimates</w:t>
            </w:r>
          </w:p>
        </w:tc>
        <w:tc>
          <w:tcPr>
            <w:tcW w:w="2164" w:type="dxa"/>
            <w:vAlign w:val="center"/>
          </w:tcPr>
          <w:p w14:paraId="20CE5EF6" w14:textId="77777777" w:rsidR="00AC5EA7" w:rsidRDefault="00AC5EA7" w:rsidP="00AC5EA7">
            <w:pPr>
              <w:spacing w:after="0"/>
              <w:rPr>
                <w:rFonts w:ascii="Arial Narrow" w:hAnsi="Arial Narrow"/>
                <w:sz w:val="20"/>
              </w:rPr>
            </w:pPr>
            <w:r>
              <w:rPr>
                <w:rFonts w:ascii="Arial Narrow" w:hAnsi="Arial Narrow"/>
                <w:sz w:val="20"/>
              </w:rPr>
              <w:t>MSA for non-MD</w:t>
            </w:r>
          </w:p>
          <w:p w14:paraId="2C6C5A18" w14:textId="281DBBB7" w:rsidR="004A75F5" w:rsidRPr="009143D9" w:rsidRDefault="00AC5EA7" w:rsidP="00AC5EA7">
            <w:pPr>
              <w:spacing w:after="0"/>
              <w:rPr>
                <w:rFonts w:ascii="Arial Narrow" w:hAnsi="Arial Narrow"/>
                <w:sz w:val="20"/>
              </w:rPr>
            </w:pPr>
            <w:r>
              <w:rPr>
                <w:rFonts w:ascii="Arial Narrow" w:hAnsi="Arial Narrow"/>
                <w:sz w:val="20"/>
              </w:rPr>
              <w:t>County for MD</w:t>
            </w:r>
          </w:p>
        </w:tc>
      </w:tr>
      <w:tr w:rsidR="004A75F5" w:rsidRPr="00E46FC2" w14:paraId="0D96A5BD" w14:textId="53C9180B" w:rsidTr="00AC5EA7">
        <w:trPr>
          <w:trHeight w:val="370"/>
        </w:trPr>
        <w:tc>
          <w:tcPr>
            <w:tcW w:w="5395" w:type="dxa"/>
            <w:vAlign w:val="center"/>
          </w:tcPr>
          <w:p w14:paraId="5754A5F7" w14:textId="19DF451B" w:rsidR="004A75F5" w:rsidRPr="00E46FC2" w:rsidRDefault="004A75F5" w:rsidP="00647E0B">
            <w:pPr>
              <w:spacing w:after="0"/>
              <w:rPr>
                <w:rFonts w:ascii="Arial Narrow" w:hAnsi="Arial Narrow" w:cs="Calibri"/>
                <w:color w:val="000000"/>
                <w:sz w:val="20"/>
              </w:rPr>
            </w:pPr>
            <w:r w:rsidRPr="005F4671">
              <w:rPr>
                <w:rFonts w:ascii="Arial Narrow" w:hAnsi="Arial Narrow" w:cs="Calibri"/>
                <w:b/>
                <w:bCs/>
                <w:color w:val="000000"/>
                <w:sz w:val="20"/>
              </w:rPr>
              <w:t>Regional price parities (RPP):</w:t>
            </w:r>
            <w:r>
              <w:rPr>
                <w:rFonts w:ascii="Arial Narrow" w:hAnsi="Arial Narrow" w:cs="Calibri"/>
                <w:color w:val="000000"/>
                <w:sz w:val="20"/>
              </w:rPr>
              <w:t xml:space="preserve"> </w:t>
            </w:r>
            <w:r w:rsidRPr="009143D9">
              <w:rPr>
                <w:rFonts w:ascii="Arial Narrow" w:hAnsi="Arial Narrow"/>
                <w:sz w:val="20"/>
              </w:rPr>
              <w:t>measure the differences in price levels across states and metropolitan areas for a given year and are expressed as a percentage of the overall national price level.</w:t>
            </w:r>
          </w:p>
        </w:tc>
        <w:tc>
          <w:tcPr>
            <w:tcW w:w="1791" w:type="dxa"/>
            <w:vAlign w:val="center"/>
          </w:tcPr>
          <w:p w14:paraId="656FD04A" w14:textId="4346E3A2" w:rsidR="004A75F5" w:rsidRPr="00E46FC2" w:rsidRDefault="004A75F5" w:rsidP="00647E0B">
            <w:pPr>
              <w:spacing w:after="0"/>
              <w:rPr>
                <w:rFonts w:ascii="Arial Narrow" w:hAnsi="Arial Narrow"/>
                <w:sz w:val="20"/>
              </w:rPr>
            </w:pPr>
            <w:r w:rsidRPr="009143D9">
              <w:rPr>
                <w:rFonts w:ascii="Arial Narrow" w:hAnsi="Arial Narrow"/>
                <w:sz w:val="20"/>
              </w:rPr>
              <w:t>Bureau of Economic Analysis</w:t>
            </w:r>
            <w:r w:rsidR="00B95777">
              <w:rPr>
                <w:rFonts w:ascii="Arial Narrow" w:hAnsi="Arial Narrow"/>
                <w:sz w:val="20"/>
              </w:rPr>
              <w:t xml:space="preserve">, </w:t>
            </w:r>
            <w:r w:rsidRPr="009143D9">
              <w:rPr>
                <w:rFonts w:ascii="Arial Narrow" w:hAnsi="Arial Narrow"/>
                <w:sz w:val="20"/>
              </w:rPr>
              <w:t>2016</w:t>
            </w:r>
          </w:p>
        </w:tc>
        <w:tc>
          <w:tcPr>
            <w:tcW w:w="2164" w:type="dxa"/>
            <w:vAlign w:val="center"/>
          </w:tcPr>
          <w:p w14:paraId="64AC4937" w14:textId="7C68513E" w:rsidR="004A75F5" w:rsidRPr="009143D9" w:rsidRDefault="00AC5EA7" w:rsidP="00AC5EA7">
            <w:pPr>
              <w:spacing w:after="0"/>
              <w:rPr>
                <w:rFonts w:ascii="Arial Narrow" w:hAnsi="Arial Narrow"/>
                <w:sz w:val="20"/>
              </w:rPr>
            </w:pPr>
            <w:r>
              <w:rPr>
                <w:rFonts w:ascii="Arial Narrow" w:hAnsi="Arial Narrow"/>
                <w:sz w:val="20"/>
              </w:rPr>
              <w:t>County</w:t>
            </w:r>
          </w:p>
        </w:tc>
      </w:tr>
      <w:tr w:rsidR="004A75F5" w:rsidRPr="00E46FC2" w14:paraId="506C0B61" w14:textId="4081C069" w:rsidTr="00AC5EA7">
        <w:trPr>
          <w:trHeight w:val="339"/>
        </w:trPr>
        <w:tc>
          <w:tcPr>
            <w:tcW w:w="5395" w:type="dxa"/>
            <w:vAlign w:val="center"/>
          </w:tcPr>
          <w:p w14:paraId="67610AFD" w14:textId="4E6FC980" w:rsidR="004A75F5" w:rsidRPr="00E46FC2" w:rsidRDefault="004A75F5" w:rsidP="001A788F">
            <w:pPr>
              <w:spacing w:after="0"/>
              <w:rPr>
                <w:rFonts w:ascii="Arial Narrow" w:hAnsi="Arial Narrow" w:cs="Calibri"/>
                <w:color w:val="000000"/>
                <w:sz w:val="20"/>
              </w:rPr>
            </w:pPr>
            <w:r w:rsidRPr="007634B6">
              <w:rPr>
                <w:rFonts w:ascii="Arial Narrow" w:hAnsi="Arial Narrow" w:cs="Calibri"/>
                <w:b/>
                <w:bCs/>
                <w:color w:val="000000"/>
                <w:sz w:val="20"/>
              </w:rPr>
              <w:t xml:space="preserve">HHS Platinum </w:t>
            </w:r>
            <w:r w:rsidR="00237566">
              <w:rPr>
                <w:rFonts w:ascii="Arial Narrow" w:hAnsi="Arial Narrow" w:cs="Calibri"/>
                <w:b/>
                <w:bCs/>
                <w:color w:val="000000"/>
                <w:sz w:val="20"/>
              </w:rPr>
              <w:t>r</w:t>
            </w:r>
            <w:r w:rsidRPr="007634B6">
              <w:rPr>
                <w:rFonts w:ascii="Arial Narrow" w:hAnsi="Arial Narrow" w:cs="Calibri"/>
                <w:b/>
                <w:bCs/>
                <w:color w:val="000000"/>
                <w:sz w:val="20"/>
              </w:rPr>
              <w:t xml:space="preserve">isk </w:t>
            </w:r>
            <w:r w:rsidR="00237566">
              <w:rPr>
                <w:rFonts w:ascii="Arial Narrow" w:hAnsi="Arial Narrow" w:cs="Calibri"/>
                <w:b/>
                <w:bCs/>
                <w:color w:val="000000"/>
                <w:sz w:val="20"/>
              </w:rPr>
              <w:t>s</w:t>
            </w:r>
            <w:r w:rsidRPr="007634B6">
              <w:rPr>
                <w:rFonts w:ascii="Arial Narrow" w:hAnsi="Arial Narrow" w:cs="Calibri"/>
                <w:b/>
                <w:bCs/>
                <w:color w:val="000000"/>
                <w:sz w:val="20"/>
              </w:rPr>
              <w:t>core:</w:t>
            </w:r>
            <w:r>
              <w:rPr>
                <w:rFonts w:ascii="Arial Narrow" w:hAnsi="Arial Narrow" w:cs="Calibri"/>
                <w:color w:val="000000"/>
                <w:sz w:val="20"/>
              </w:rPr>
              <w:t xml:space="preserve"> </w:t>
            </w:r>
            <w:r w:rsidR="00224609">
              <w:rPr>
                <w:rFonts w:ascii="Arial Narrow" w:hAnsi="Arial Narrow" w:cs="Calibri"/>
                <w:color w:val="000000"/>
                <w:sz w:val="20"/>
              </w:rPr>
              <w:t>Risk score calculated using the p</w:t>
            </w:r>
            <w:r>
              <w:rPr>
                <w:rFonts w:ascii="Arial Narrow" w:hAnsi="Arial Narrow" w:cs="Calibri"/>
                <w:color w:val="000000"/>
                <w:sz w:val="20"/>
              </w:rPr>
              <w:t>ublicly available HHS</w:t>
            </w:r>
            <w:r w:rsidR="00224609">
              <w:rPr>
                <w:rFonts w:ascii="Arial Narrow" w:hAnsi="Arial Narrow" w:cs="Calibri"/>
                <w:color w:val="000000"/>
                <w:sz w:val="20"/>
              </w:rPr>
              <w:t xml:space="preserve">-HCC Platinum risk adjustment model. The HHS-HCC Platinum risk scores </w:t>
            </w:r>
            <w:r>
              <w:rPr>
                <w:rFonts w:ascii="Arial Narrow" w:hAnsi="Arial Narrow" w:cs="Calibri"/>
                <w:color w:val="000000"/>
                <w:sz w:val="20"/>
              </w:rPr>
              <w:t xml:space="preserve">predict Health Insurance Exchange plan </w:t>
            </w:r>
            <w:r w:rsidR="00C6620A">
              <w:rPr>
                <w:rFonts w:ascii="Arial Narrow" w:hAnsi="Arial Narrow" w:cs="Calibri"/>
                <w:color w:val="000000"/>
                <w:sz w:val="20"/>
              </w:rPr>
              <w:t>costs</w:t>
            </w:r>
            <w:r>
              <w:rPr>
                <w:rFonts w:ascii="Arial Narrow" w:hAnsi="Arial Narrow" w:cs="Calibri"/>
                <w:color w:val="000000"/>
                <w:sz w:val="20"/>
              </w:rPr>
              <w:t xml:space="preserve">. The </w:t>
            </w:r>
            <w:r w:rsidR="00224609">
              <w:rPr>
                <w:rFonts w:ascii="Arial Narrow" w:hAnsi="Arial Narrow" w:cs="Calibri"/>
                <w:color w:val="000000"/>
                <w:sz w:val="20"/>
              </w:rPr>
              <w:t xml:space="preserve">risk </w:t>
            </w:r>
            <w:r>
              <w:rPr>
                <w:rFonts w:ascii="Arial Narrow" w:hAnsi="Arial Narrow" w:cs="Calibri"/>
                <w:color w:val="000000"/>
                <w:sz w:val="20"/>
              </w:rPr>
              <w:t xml:space="preserve">score is </w:t>
            </w:r>
            <w:r w:rsidRPr="00CD458E">
              <w:rPr>
                <w:rFonts w:ascii="Arial Narrow" w:hAnsi="Arial Narrow" w:cs="Calibri"/>
                <w:color w:val="000000"/>
                <w:sz w:val="20"/>
              </w:rPr>
              <w:t>concurrent</w:t>
            </w:r>
            <w:r>
              <w:rPr>
                <w:rFonts w:ascii="Arial Narrow" w:hAnsi="Arial Narrow" w:cs="Calibri"/>
                <w:color w:val="000000"/>
                <w:sz w:val="20"/>
              </w:rPr>
              <w:t xml:space="preserve"> (</w:t>
            </w:r>
            <w:r w:rsidRPr="00CD458E">
              <w:rPr>
                <w:rFonts w:ascii="Arial Narrow" w:hAnsi="Arial Narrow" w:cs="Calibri"/>
                <w:color w:val="000000"/>
                <w:sz w:val="20"/>
              </w:rPr>
              <w:t>i.e. it predicts costs for the same time period as the diagnosis collection period</w:t>
            </w:r>
            <w:r>
              <w:rPr>
                <w:rFonts w:ascii="Arial Narrow" w:hAnsi="Arial Narrow" w:cs="Calibri"/>
                <w:color w:val="000000"/>
                <w:sz w:val="20"/>
              </w:rPr>
              <w:t>)</w:t>
            </w:r>
            <w:r w:rsidR="00BB41F7">
              <w:rPr>
                <w:rFonts w:ascii="Arial Narrow" w:hAnsi="Arial Narrow" w:cs="Calibri"/>
                <w:color w:val="000000"/>
                <w:sz w:val="20"/>
              </w:rPr>
              <w:t xml:space="preserve">, based on </w:t>
            </w:r>
            <w:r w:rsidRPr="00CD458E">
              <w:rPr>
                <w:rFonts w:ascii="Arial Narrow" w:hAnsi="Arial Narrow" w:cs="Calibri"/>
                <w:color w:val="000000"/>
                <w:sz w:val="20"/>
              </w:rPr>
              <w:t>diagnosis</w:t>
            </w:r>
            <w:r w:rsidR="00BB41F7">
              <w:rPr>
                <w:rFonts w:ascii="Arial Narrow" w:hAnsi="Arial Narrow" w:cs="Calibri"/>
                <w:color w:val="000000"/>
                <w:sz w:val="20"/>
              </w:rPr>
              <w:t>, and reflects a cost share rate of approximately 90%</w:t>
            </w:r>
            <w:r w:rsidRPr="00CD458E">
              <w:rPr>
                <w:rFonts w:ascii="Arial Narrow" w:hAnsi="Arial Narrow" w:cs="Calibri"/>
                <w:color w:val="000000"/>
                <w:sz w:val="20"/>
              </w:rPr>
              <w:t>.</w:t>
            </w:r>
            <w:r w:rsidR="00AC5EA7">
              <w:rPr>
                <w:rFonts w:ascii="Arial Narrow" w:hAnsi="Arial Narrow" w:cs="Calibri"/>
                <w:color w:val="000000"/>
                <w:sz w:val="20"/>
              </w:rPr>
              <w:t xml:space="preserve"> </w:t>
            </w:r>
            <w:r w:rsidR="001A788F">
              <w:rPr>
                <w:rFonts w:ascii="Arial Narrow" w:hAnsi="Arial Narrow" w:cs="Calibri"/>
                <w:color w:val="000000"/>
                <w:sz w:val="20"/>
              </w:rPr>
              <w:t xml:space="preserve">Because the </w:t>
            </w:r>
            <w:r w:rsidR="00C6620A">
              <w:rPr>
                <w:rFonts w:ascii="Arial Narrow" w:hAnsi="Arial Narrow" w:cs="Calibri"/>
                <w:color w:val="000000"/>
                <w:sz w:val="20"/>
              </w:rPr>
              <w:t>HHS</w:t>
            </w:r>
            <w:r w:rsidR="00224609">
              <w:rPr>
                <w:rFonts w:ascii="Arial Narrow" w:hAnsi="Arial Narrow" w:cs="Calibri"/>
                <w:color w:val="000000"/>
                <w:sz w:val="20"/>
              </w:rPr>
              <w:t>-HCC</w:t>
            </w:r>
            <w:r w:rsidR="00C6620A">
              <w:rPr>
                <w:rFonts w:ascii="Arial Narrow" w:hAnsi="Arial Narrow" w:cs="Calibri"/>
                <w:color w:val="000000"/>
                <w:sz w:val="20"/>
              </w:rPr>
              <w:t xml:space="preserve"> Platinum risk score</w:t>
            </w:r>
            <w:r w:rsidR="001A788F">
              <w:rPr>
                <w:rFonts w:ascii="Arial Narrow" w:hAnsi="Arial Narrow" w:cs="Calibri"/>
                <w:color w:val="000000"/>
                <w:sz w:val="20"/>
              </w:rPr>
              <w:t>s are based on coefficients that represent averages for specific conditions and demographic characteristics</w:t>
            </w:r>
            <w:r w:rsidR="00C6620A">
              <w:rPr>
                <w:rFonts w:ascii="Arial Narrow" w:hAnsi="Arial Narrow" w:cs="Calibri"/>
                <w:color w:val="000000"/>
                <w:sz w:val="20"/>
              </w:rPr>
              <w:t xml:space="preserve">, </w:t>
            </w:r>
            <w:r w:rsidR="001A788F">
              <w:rPr>
                <w:rFonts w:ascii="Arial Narrow" w:hAnsi="Arial Narrow" w:cs="Calibri"/>
                <w:color w:val="000000"/>
                <w:sz w:val="20"/>
              </w:rPr>
              <w:t>the risk scores generally have more explanatory power for populations</w:t>
            </w:r>
            <w:r w:rsidR="00C6620A">
              <w:rPr>
                <w:rFonts w:ascii="Arial Narrow" w:hAnsi="Arial Narrow" w:cs="Calibri"/>
                <w:color w:val="000000"/>
                <w:sz w:val="20"/>
              </w:rPr>
              <w:t xml:space="preserve"> </w:t>
            </w:r>
            <w:r w:rsidR="001A788F">
              <w:rPr>
                <w:rFonts w:ascii="Arial Narrow" w:hAnsi="Arial Narrow" w:cs="Calibri"/>
                <w:color w:val="000000"/>
                <w:sz w:val="20"/>
              </w:rPr>
              <w:t xml:space="preserve">than </w:t>
            </w:r>
            <w:r w:rsidR="00C6620A">
              <w:rPr>
                <w:rFonts w:ascii="Arial Narrow" w:hAnsi="Arial Narrow" w:cs="Calibri"/>
                <w:color w:val="000000"/>
                <w:sz w:val="20"/>
              </w:rPr>
              <w:t xml:space="preserve">individual risk. </w:t>
            </w:r>
            <w:r w:rsidRPr="00CD458E">
              <w:rPr>
                <w:rFonts w:ascii="Arial Narrow" w:hAnsi="Arial Narrow" w:cs="Calibri"/>
                <w:color w:val="000000"/>
                <w:sz w:val="20"/>
              </w:rPr>
              <w:t>The HHS platinum risk score model applied did not use pharmacy claims in the development of risk scores.</w:t>
            </w:r>
          </w:p>
        </w:tc>
        <w:tc>
          <w:tcPr>
            <w:tcW w:w="1791" w:type="dxa"/>
            <w:vAlign w:val="center"/>
          </w:tcPr>
          <w:p w14:paraId="10EF891E" w14:textId="21E30BC5" w:rsidR="004A75F5" w:rsidRPr="00E46FC2" w:rsidRDefault="004A75F5" w:rsidP="00647E0B">
            <w:pPr>
              <w:spacing w:after="0"/>
              <w:rPr>
                <w:rFonts w:ascii="Arial Narrow" w:hAnsi="Arial Narrow"/>
                <w:sz w:val="20"/>
              </w:rPr>
            </w:pPr>
            <w:r w:rsidRPr="00E46FC2">
              <w:rPr>
                <w:rFonts w:ascii="Arial Narrow" w:hAnsi="Arial Narrow"/>
                <w:sz w:val="20"/>
              </w:rPr>
              <w:t>Milliman CHSD</w:t>
            </w:r>
            <w:r>
              <w:rPr>
                <w:rFonts w:ascii="Arial Narrow" w:hAnsi="Arial Narrow"/>
                <w:sz w:val="20"/>
              </w:rPr>
              <w:t>, 2017</w:t>
            </w:r>
          </w:p>
        </w:tc>
        <w:tc>
          <w:tcPr>
            <w:tcW w:w="2164" w:type="dxa"/>
            <w:vAlign w:val="center"/>
          </w:tcPr>
          <w:p w14:paraId="4CBF5888" w14:textId="633B6F01" w:rsidR="004A75F5" w:rsidRPr="00E46FC2" w:rsidRDefault="00AC5EA7" w:rsidP="00AC5EA7">
            <w:pPr>
              <w:spacing w:after="0"/>
              <w:rPr>
                <w:rFonts w:ascii="Arial Narrow" w:hAnsi="Arial Narrow"/>
                <w:sz w:val="20"/>
              </w:rPr>
            </w:pPr>
            <w:r>
              <w:rPr>
                <w:rFonts w:ascii="Arial Narrow" w:hAnsi="Arial Narrow"/>
                <w:sz w:val="20"/>
              </w:rPr>
              <w:t>MSA</w:t>
            </w:r>
          </w:p>
        </w:tc>
      </w:tr>
      <w:tr w:rsidR="004A75F5" w:rsidRPr="00E46FC2" w14:paraId="1643B69E" w14:textId="63B431D2" w:rsidTr="009833D8">
        <w:trPr>
          <w:trHeight w:val="71"/>
        </w:trPr>
        <w:tc>
          <w:tcPr>
            <w:tcW w:w="5395" w:type="dxa"/>
            <w:vAlign w:val="center"/>
          </w:tcPr>
          <w:p w14:paraId="5BFD6D04" w14:textId="7A239315" w:rsidR="004A75F5" w:rsidRPr="00E46FC2" w:rsidRDefault="004A75F5">
            <w:pPr>
              <w:spacing w:after="0"/>
              <w:rPr>
                <w:rFonts w:ascii="Arial Narrow" w:hAnsi="Arial Narrow" w:cs="Calibri"/>
                <w:color w:val="000000"/>
                <w:sz w:val="20"/>
              </w:rPr>
            </w:pPr>
            <w:r w:rsidRPr="005F4671">
              <w:rPr>
                <w:rFonts w:ascii="Arial Narrow" w:hAnsi="Arial Narrow" w:cs="Calibri"/>
                <w:b/>
                <w:bCs/>
                <w:color w:val="000000"/>
                <w:sz w:val="20"/>
              </w:rPr>
              <w:t>Payer mix</w:t>
            </w:r>
            <w:r>
              <w:rPr>
                <w:rFonts w:ascii="Arial Narrow" w:hAnsi="Arial Narrow" w:cs="Calibri"/>
                <w:b/>
                <w:bCs/>
                <w:color w:val="000000"/>
                <w:sz w:val="20"/>
              </w:rPr>
              <w:t xml:space="preserve">: </w:t>
            </w:r>
            <w:r w:rsidRPr="005F4671">
              <w:rPr>
                <w:rFonts w:ascii="Arial Narrow" w:hAnsi="Arial Narrow" w:cs="Calibri"/>
                <w:color w:val="000000"/>
                <w:sz w:val="20"/>
              </w:rPr>
              <w:t xml:space="preserve">Percent of Medicare and Medicaid </w:t>
            </w:r>
            <w:r w:rsidR="00696C60">
              <w:rPr>
                <w:rFonts w:ascii="Arial Narrow" w:hAnsi="Arial Narrow" w:cs="Calibri"/>
                <w:color w:val="000000"/>
                <w:sz w:val="20"/>
              </w:rPr>
              <w:t>bed days</w:t>
            </w:r>
            <w:r w:rsidR="00696C60" w:rsidRPr="005F4671">
              <w:rPr>
                <w:rFonts w:ascii="Arial Narrow" w:hAnsi="Arial Narrow" w:cs="Calibri"/>
                <w:color w:val="000000"/>
                <w:sz w:val="20"/>
              </w:rPr>
              <w:t xml:space="preserve"> </w:t>
            </w:r>
            <w:r w:rsidRPr="005F4671">
              <w:rPr>
                <w:rFonts w:ascii="Arial Narrow" w:hAnsi="Arial Narrow" w:cs="Calibri"/>
                <w:color w:val="000000"/>
                <w:sz w:val="20"/>
              </w:rPr>
              <w:t>and</w:t>
            </w:r>
            <w:r>
              <w:rPr>
                <w:rFonts w:ascii="Arial Narrow" w:hAnsi="Arial Narrow" w:cs="Calibri"/>
                <w:color w:val="000000"/>
                <w:sz w:val="20"/>
              </w:rPr>
              <w:t xml:space="preserve"> </w:t>
            </w:r>
            <w:r w:rsidRPr="009143D9">
              <w:rPr>
                <w:rFonts w:ascii="Arial Narrow" w:hAnsi="Arial Narrow"/>
                <w:sz w:val="20"/>
              </w:rPr>
              <w:t xml:space="preserve">excludes hospitals with unreasonable bed days counts: (1) total hospitals days less than 0, (2) days available greater than what is implied by the staffed bed count in the data, or (3) hospital and subprovider occupancy rates greater than 100% or less than 0%. Includes Medicare Advantage and </w:t>
            </w:r>
            <w:r w:rsidR="00EB34A8">
              <w:rPr>
                <w:rFonts w:ascii="Arial Narrow" w:hAnsi="Arial Narrow"/>
                <w:sz w:val="20"/>
              </w:rPr>
              <w:t>m</w:t>
            </w:r>
            <w:r w:rsidR="00696C60">
              <w:rPr>
                <w:rFonts w:ascii="Arial Narrow" w:hAnsi="Arial Narrow"/>
                <w:sz w:val="20"/>
              </w:rPr>
              <w:t xml:space="preserve">anaged </w:t>
            </w:r>
            <w:r w:rsidRPr="009143D9">
              <w:rPr>
                <w:rFonts w:ascii="Arial Narrow" w:hAnsi="Arial Narrow"/>
                <w:sz w:val="20"/>
              </w:rPr>
              <w:t xml:space="preserve">Medicaid </w:t>
            </w:r>
            <w:r w:rsidR="00696C60">
              <w:rPr>
                <w:rFonts w:ascii="Arial Narrow" w:hAnsi="Arial Narrow"/>
                <w:sz w:val="20"/>
              </w:rPr>
              <w:t>bed days</w:t>
            </w:r>
            <w:r w:rsidRPr="009143D9">
              <w:rPr>
                <w:rFonts w:ascii="Arial Narrow" w:hAnsi="Arial Narrow"/>
                <w:sz w:val="20"/>
              </w:rPr>
              <w:t>.</w:t>
            </w:r>
          </w:p>
        </w:tc>
        <w:tc>
          <w:tcPr>
            <w:tcW w:w="1791" w:type="dxa"/>
            <w:vAlign w:val="center"/>
          </w:tcPr>
          <w:p w14:paraId="244C180F" w14:textId="6B7BB0E7" w:rsidR="004A75F5" w:rsidRPr="00E46FC2" w:rsidRDefault="004A75F5" w:rsidP="00647E0B">
            <w:pPr>
              <w:spacing w:after="0"/>
              <w:rPr>
                <w:rFonts w:ascii="Arial Narrow" w:hAnsi="Arial Narrow"/>
                <w:sz w:val="20"/>
              </w:rPr>
            </w:pPr>
            <w:r w:rsidRPr="009143D9">
              <w:rPr>
                <w:rFonts w:ascii="Arial Narrow" w:hAnsi="Arial Narrow"/>
                <w:sz w:val="20"/>
              </w:rPr>
              <w:t>Medicare Hospital Cost Reports</w:t>
            </w:r>
            <w:r>
              <w:rPr>
                <w:rFonts w:ascii="Arial Narrow" w:hAnsi="Arial Narrow"/>
                <w:sz w:val="20"/>
              </w:rPr>
              <w:t>, FY 2017</w:t>
            </w:r>
          </w:p>
        </w:tc>
        <w:tc>
          <w:tcPr>
            <w:tcW w:w="2164" w:type="dxa"/>
            <w:vAlign w:val="center"/>
          </w:tcPr>
          <w:p w14:paraId="78A281AB" w14:textId="77777777" w:rsidR="004A75F5" w:rsidRDefault="00AC5EA7" w:rsidP="00AC5EA7">
            <w:pPr>
              <w:spacing w:after="0"/>
              <w:rPr>
                <w:rFonts w:ascii="Arial Narrow" w:hAnsi="Arial Narrow"/>
                <w:sz w:val="20"/>
              </w:rPr>
            </w:pPr>
            <w:r>
              <w:rPr>
                <w:rFonts w:ascii="Arial Narrow" w:hAnsi="Arial Narrow"/>
                <w:sz w:val="20"/>
              </w:rPr>
              <w:t>MSA for non-MD</w:t>
            </w:r>
          </w:p>
          <w:p w14:paraId="12E82C05" w14:textId="5AD05CAF" w:rsidR="00AC5EA7" w:rsidRPr="009143D9" w:rsidRDefault="00AC5EA7" w:rsidP="00AC5EA7">
            <w:pPr>
              <w:spacing w:after="0"/>
              <w:rPr>
                <w:rFonts w:ascii="Arial Narrow" w:hAnsi="Arial Narrow"/>
                <w:sz w:val="20"/>
              </w:rPr>
            </w:pPr>
            <w:r>
              <w:rPr>
                <w:rFonts w:ascii="Arial Narrow" w:hAnsi="Arial Narrow"/>
                <w:sz w:val="20"/>
              </w:rPr>
              <w:t>County for MD</w:t>
            </w:r>
          </w:p>
        </w:tc>
      </w:tr>
    </w:tbl>
    <w:p w14:paraId="155ED9AA" w14:textId="043D7F93" w:rsidR="0049396C" w:rsidRPr="005C13A5" w:rsidRDefault="005F4671" w:rsidP="005F4671">
      <w:pPr>
        <w:pStyle w:val="BodyText"/>
        <w:rPr>
          <w:rFonts w:ascii="Arial Narrow" w:hAnsi="Arial Narrow"/>
          <w:sz w:val="18"/>
          <w:szCs w:val="15"/>
        </w:rPr>
      </w:pPr>
      <w:r w:rsidRPr="005C13A5">
        <w:rPr>
          <w:rFonts w:ascii="Arial Narrow" w:hAnsi="Arial Narrow"/>
          <w:b/>
          <w:bCs/>
          <w:sz w:val="18"/>
          <w:szCs w:val="15"/>
        </w:rPr>
        <w:t>Note:</w:t>
      </w:r>
      <w:r w:rsidRPr="005C13A5">
        <w:rPr>
          <w:rFonts w:ascii="Arial Narrow" w:hAnsi="Arial Narrow"/>
          <w:sz w:val="18"/>
          <w:szCs w:val="15"/>
        </w:rPr>
        <w:t xml:space="preserve"> </w:t>
      </w:r>
      <w:r w:rsidR="00EA6CF5" w:rsidRPr="005C13A5">
        <w:rPr>
          <w:rFonts w:ascii="Arial Narrow" w:hAnsi="Arial Narrow"/>
          <w:sz w:val="18"/>
          <w:szCs w:val="15"/>
        </w:rPr>
        <w:t>HHS = Health</w:t>
      </w:r>
      <w:r w:rsidR="007634B6" w:rsidRPr="005C13A5">
        <w:rPr>
          <w:rFonts w:ascii="Arial Narrow" w:hAnsi="Arial Narrow"/>
          <w:sz w:val="18"/>
          <w:szCs w:val="15"/>
        </w:rPr>
        <w:t xml:space="preserve"> and Human Services; </w:t>
      </w:r>
      <w:r w:rsidR="00AC22E0">
        <w:rPr>
          <w:rFonts w:ascii="Arial Narrow" w:hAnsi="Arial Narrow"/>
          <w:sz w:val="18"/>
          <w:szCs w:val="15"/>
        </w:rPr>
        <w:t xml:space="preserve">HCC = Hierarchical Condition Category; </w:t>
      </w:r>
      <w:r w:rsidRPr="005C13A5">
        <w:rPr>
          <w:rFonts w:ascii="Arial Narrow" w:hAnsi="Arial Narrow"/>
          <w:sz w:val="18"/>
          <w:szCs w:val="15"/>
        </w:rPr>
        <w:t>ACS = American Community Survey</w:t>
      </w:r>
    </w:p>
    <w:p w14:paraId="14F5EB2A" w14:textId="0CB4DA34" w:rsidR="009833D8" w:rsidRDefault="007634B6" w:rsidP="00EA6CF5">
      <w:pPr>
        <w:pStyle w:val="BodyText"/>
      </w:pPr>
      <w:r>
        <w:t>The characteristics were computed at the MSA-level for each MSA nation</w:t>
      </w:r>
      <w:r w:rsidR="00EB34A8">
        <w:t>-</w:t>
      </w:r>
      <w:r>
        <w:t xml:space="preserve">wide. </w:t>
      </w:r>
      <w:r w:rsidR="001622E8">
        <w:t xml:space="preserve">Based on discussion with HSCRC, we assigned the RPP for MSA 47894 (Washington-Arlington-Alexandria, DC-VA-MD-WV) to MD1 (Southern MD). </w:t>
      </w:r>
      <w:r>
        <w:t>For the five constructed MD regions, where possible</w:t>
      </w:r>
      <w:r w:rsidR="00CB08CE">
        <w:t>,</w:t>
      </w:r>
      <w:r>
        <w:t xml:space="preserve"> we aggregated county-level values using total population weights. The</w:t>
      </w:r>
      <w:r w:rsidR="005632A0">
        <w:t xml:space="preserve"> HHS Platinum </w:t>
      </w:r>
      <w:r w:rsidR="009930EC">
        <w:t>r</w:t>
      </w:r>
      <w:r w:rsidR="005632A0">
        <w:t xml:space="preserve">isk </w:t>
      </w:r>
      <w:r w:rsidR="009930EC">
        <w:t>s</w:t>
      </w:r>
      <w:r w:rsidR="005632A0">
        <w:t>core</w:t>
      </w:r>
      <w:r w:rsidR="009930EC">
        <w:t xml:space="preserve"> </w:t>
      </w:r>
      <w:r w:rsidR="00CB08CE">
        <w:t>was</w:t>
      </w:r>
      <w:r>
        <w:t xml:space="preserve"> calculated from CHSD data and we assigned a score </w:t>
      </w:r>
      <w:r w:rsidR="005632A0">
        <w:t>to each MD region based on mix of MSAs from which each MD county belongs, weight</w:t>
      </w:r>
      <w:r>
        <w:t>ing</w:t>
      </w:r>
      <w:r w:rsidR="005632A0">
        <w:t xml:space="preserve"> to the MD region level using the </w:t>
      </w:r>
      <w:r>
        <w:t xml:space="preserve">MSA </w:t>
      </w:r>
      <w:r w:rsidR="005632A0">
        <w:t xml:space="preserve">population counts from the CHSD. </w:t>
      </w:r>
      <w:r w:rsidR="001622E8">
        <w:t xml:space="preserve">Note that this was done to select national benchmark MSAs that were similar to the MD regions. </w:t>
      </w:r>
      <w:r w:rsidR="003B0825">
        <w:t xml:space="preserve">We did not use MD APCD information to select benchmark MSAs because APCD data did not become available </w:t>
      </w:r>
      <w:r w:rsidR="003B0825">
        <w:lastRenderedPageBreak/>
        <w:t>until later in the process, after it was cleaned and analyzed; instead we used MD data in the CHSD to compute risk scores for MD. However, below, in the discussion of the calculation and comparison of metrics, we use MD values from the APCD.</w:t>
      </w:r>
    </w:p>
    <w:p w14:paraId="3E9D2BDD" w14:textId="5E1738A9" w:rsidR="00AC5EA7" w:rsidRDefault="00D56E9A" w:rsidP="00EA6CF5">
      <w:pPr>
        <w:pStyle w:val="BodyText"/>
      </w:pPr>
      <w:r>
        <w:t xml:space="preserve">The Payer mix was calculated using the </w:t>
      </w:r>
      <w:r w:rsidR="007E3796">
        <w:t xml:space="preserve">fiscal year </w:t>
      </w:r>
      <w:r>
        <w:t xml:space="preserve">2017 Medicare Cost </w:t>
      </w:r>
      <w:r w:rsidR="00696C60">
        <w:t>R</w:t>
      </w:r>
      <w:r>
        <w:t>eport filing for each hospital within an MSA.</w:t>
      </w:r>
      <w:r w:rsidR="007E3796">
        <w:t xml:space="preserve"> Hospitals with incomplete staffed and occupied bed day information were excluded from the calculation. </w:t>
      </w:r>
      <w:r w:rsidR="00696C60">
        <w:t xml:space="preserve">The percent Medicare and Medicaid bed days was calculated by adding up the reported bed day counts for each MSA. Total occupied bed days were summarized separately from Medicare and Medicaid bed days  Traditional Medicare, Medicare Advantage, Medicaid fee-for-service and </w:t>
      </w:r>
      <w:r w:rsidR="00EB34A8">
        <w:t>m</w:t>
      </w:r>
      <w:r w:rsidR="00696C60">
        <w:t xml:space="preserve">anaged Medicaid bed days </w:t>
      </w:r>
      <w:r w:rsidR="00EB34A8">
        <w:t>were</w:t>
      </w:r>
      <w:r w:rsidR="00696C60">
        <w:t xml:space="preserve"> included in the Medicare and Medicaid bed day count. The percent Medicare and Medicaid bed days was calculated </w:t>
      </w:r>
      <w:r w:rsidR="00EB34A8">
        <w:t xml:space="preserve">by </w:t>
      </w:r>
      <w:r w:rsidR="00696C60">
        <w:t>divid</w:t>
      </w:r>
      <w:r w:rsidR="00EB34A8">
        <w:t>ing</w:t>
      </w:r>
      <w:r w:rsidR="00696C60">
        <w:t xml:space="preserve"> by the Medicare and Medicaid bed days by the total occupied bed days.</w:t>
      </w:r>
    </w:p>
    <w:p w14:paraId="1BB5CEDD" w14:textId="76B9AABD" w:rsidR="00897C95" w:rsidRDefault="00897C95" w:rsidP="00897C95">
      <w:pPr>
        <w:pStyle w:val="Heading2"/>
      </w:pPr>
      <w:bookmarkStart w:id="7" w:name="_Toc35363777"/>
      <w:r>
        <w:t>Select Benchmark Regions</w:t>
      </w:r>
      <w:bookmarkEnd w:id="7"/>
    </w:p>
    <w:p w14:paraId="26EBFCA0" w14:textId="77F015FD" w:rsidR="00462CBD" w:rsidRDefault="00EA6CF5" w:rsidP="00EA6CF5">
      <w:pPr>
        <w:pStyle w:val="BodyText"/>
      </w:pPr>
      <w:r w:rsidRPr="00FA5944">
        <w:t xml:space="preserve">We created </w:t>
      </w:r>
      <w:r w:rsidR="00462CBD">
        <w:t>nine</w:t>
      </w:r>
      <w:r w:rsidRPr="00FA5944">
        <w:t xml:space="preserve"> categories</w:t>
      </w:r>
      <w:r w:rsidR="00462CBD">
        <w:t xml:space="preserve"> of national MSAs (excluding MD MSAs)</w:t>
      </w:r>
      <w:r w:rsidRPr="00FA5944">
        <w:t xml:space="preserve"> based on percentiles of total population and population density</w:t>
      </w:r>
      <w:r w:rsidR="00462CBD">
        <w:t xml:space="preserve">, as shown in </w:t>
      </w:r>
      <w:r w:rsidR="00462CBD" w:rsidRPr="00462CBD">
        <w:rPr>
          <w:b/>
          <w:bCs/>
        </w:rPr>
        <w:t>Exhibit 3</w:t>
      </w:r>
      <w:r w:rsidR="00462CBD">
        <w:t xml:space="preserve">. The number of categories were selected based on the frequency of MSAs that fell within each category and distribution of MD regions into categories. </w:t>
      </w:r>
      <w:r w:rsidR="00462CBD" w:rsidRPr="00462CBD">
        <w:t>Due to low frequenc</w:t>
      </w:r>
      <w:r w:rsidR="00647E0B">
        <w:t>ies</w:t>
      </w:r>
      <w:r w:rsidR="00462CBD" w:rsidRPr="00462CBD">
        <w:t xml:space="preserve">, MSAs falling in the lowest third of </w:t>
      </w:r>
      <w:r w:rsidR="00462CBD">
        <w:t>t</w:t>
      </w:r>
      <w:r w:rsidR="00462CBD" w:rsidRPr="00462CBD">
        <w:t xml:space="preserve">otal </w:t>
      </w:r>
      <w:r w:rsidR="00462CBD">
        <w:t>p</w:t>
      </w:r>
      <w:r w:rsidR="00462CBD" w:rsidRPr="00462CBD">
        <w:t xml:space="preserve">opulation and the top quartile of </w:t>
      </w:r>
      <w:r w:rsidR="00647E0B">
        <w:t>d</w:t>
      </w:r>
      <w:r w:rsidR="00462CBD" w:rsidRPr="00462CBD">
        <w:t>ensity w</w:t>
      </w:r>
      <w:r w:rsidR="00647E0B">
        <w:t>ere</w:t>
      </w:r>
      <w:r w:rsidR="00462CBD" w:rsidRPr="00462CBD">
        <w:t xml:space="preserve"> moved to the second group (25-75) of </w:t>
      </w:r>
      <w:r w:rsidR="00462CBD">
        <w:t>t</w:t>
      </w:r>
      <w:r w:rsidR="00462CBD" w:rsidRPr="00462CBD">
        <w:t xml:space="preserve">otal </w:t>
      </w:r>
      <w:r w:rsidR="00462CBD">
        <w:t>p</w:t>
      </w:r>
      <w:r w:rsidR="00462CBD" w:rsidRPr="00462CBD">
        <w:t>opulation</w:t>
      </w:r>
      <w:r w:rsidR="00462CBD">
        <w:t xml:space="preserve"> and</w:t>
      </w:r>
      <w:r w:rsidR="00462CBD" w:rsidRPr="00462CBD">
        <w:t xml:space="preserve"> MSAs falling in the lowest two quartiles of </w:t>
      </w:r>
      <w:r w:rsidR="00462CBD">
        <w:t>d</w:t>
      </w:r>
      <w:r w:rsidR="00462CBD" w:rsidRPr="00462CBD">
        <w:t xml:space="preserve">ensity and top quartile of </w:t>
      </w:r>
      <w:r w:rsidR="00462CBD">
        <w:t>t</w:t>
      </w:r>
      <w:r w:rsidR="00462CBD" w:rsidRPr="00462CBD">
        <w:t xml:space="preserve">otal </w:t>
      </w:r>
      <w:r w:rsidR="00462CBD">
        <w:t>p</w:t>
      </w:r>
      <w:r w:rsidR="00462CBD" w:rsidRPr="00462CBD">
        <w:t xml:space="preserve">opulation were moved to the middle category (25-75) of </w:t>
      </w:r>
      <w:r w:rsidR="00647E0B">
        <w:t>d</w:t>
      </w:r>
      <w:r w:rsidR="00462CBD" w:rsidRPr="00462CBD">
        <w:t>ensity</w:t>
      </w:r>
      <w:r w:rsidR="00647E0B">
        <w:t>.</w:t>
      </w:r>
      <w:r w:rsidR="00462CBD">
        <w:t xml:space="preserve"> </w:t>
      </w:r>
      <w:r w:rsidR="00647E0B">
        <w:t>S</w:t>
      </w:r>
      <w:r w:rsidR="00462CBD">
        <w:t>haded cells</w:t>
      </w:r>
      <w:r w:rsidR="00647E0B">
        <w:t xml:space="preserve"> indicate the resulting nine categories of national MSAs for potential benchmark selection. </w:t>
      </w:r>
    </w:p>
    <w:p w14:paraId="74BA1B06" w14:textId="06576041" w:rsidR="00647E0B" w:rsidRDefault="00647E0B" w:rsidP="00647E0B">
      <w:pPr>
        <w:pStyle w:val="Caption"/>
      </w:pPr>
      <w:r>
        <w:t>Exhibit 3.</w:t>
      </w:r>
      <w:r>
        <w:tab/>
        <w:t>Categorizing National MSAs Based on Total Population and Density</w:t>
      </w:r>
    </w:p>
    <w:p w14:paraId="37F7BDE8" w14:textId="06893566" w:rsidR="00462CBD" w:rsidRDefault="00462CBD" w:rsidP="00647E0B">
      <w:pPr>
        <w:pStyle w:val="BodyText"/>
        <w:spacing w:after="0"/>
      </w:pPr>
      <w:r>
        <w:rPr>
          <w:noProof/>
          <w:lang w:val="en-US"/>
        </w:rPr>
        <w:drawing>
          <wp:inline distT="0" distB="0" distL="0" distR="0" wp14:anchorId="58D23669" wp14:editId="137E485E">
            <wp:extent cx="4111337" cy="796059"/>
            <wp:effectExtent l="0" t="0" r="3810" b="4445"/>
            <wp:docPr id="4" name="Picture 3">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000-000004000000}"/>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11337" cy="796059"/>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6EB72F4" w14:textId="668334BF" w:rsidR="00647E0B" w:rsidRPr="005C13A5" w:rsidRDefault="00647E0B" w:rsidP="00C46E7F">
      <w:pPr>
        <w:pStyle w:val="BodyText"/>
        <w:ind w:right="2880"/>
        <w:rPr>
          <w:rFonts w:ascii="Arial Narrow" w:hAnsi="Arial Narrow" w:cs="Arial"/>
          <w:sz w:val="18"/>
          <w:szCs w:val="15"/>
        </w:rPr>
      </w:pPr>
      <w:r w:rsidRPr="005C13A5">
        <w:rPr>
          <w:rFonts w:ascii="Arial Narrow" w:hAnsi="Arial Narrow" w:cs="Arial"/>
          <w:sz w:val="18"/>
          <w:szCs w:val="15"/>
        </w:rPr>
        <w:t>Note: Due to low frequencies, some MSAs were shifted into other categories. Shaded cells indicate the resulting nine categories of national MSAs for potential benchmark selection.</w:t>
      </w:r>
    </w:p>
    <w:p w14:paraId="720A33A0" w14:textId="0B948A76" w:rsidR="00B077C9" w:rsidRDefault="00B077C9" w:rsidP="00647E0B">
      <w:pPr>
        <w:pStyle w:val="BodyText"/>
      </w:pPr>
      <w:r>
        <w:t xml:space="preserve">The five MD regions fell into only two of the nine categories, as shown in </w:t>
      </w:r>
      <w:r w:rsidRPr="00B077C9">
        <w:rPr>
          <w:b/>
          <w:bCs/>
        </w:rPr>
        <w:t>Exhibit 4</w:t>
      </w:r>
      <w:r>
        <w:t xml:space="preserve">. We thus limit the potential benchmark MSAs to 69 national MSAs for MD2 (Western, MD) and MD3 (Eastern Shore) and to 66 national MSAs for MD1 (Southern, MD), MD4 (Northern DC Suburbs), and MD5 (Baltimore Area). </w:t>
      </w:r>
    </w:p>
    <w:p w14:paraId="2D12AE16" w14:textId="6721ACFE" w:rsidR="00B077C9" w:rsidRDefault="00B077C9" w:rsidP="00B077C9">
      <w:pPr>
        <w:pStyle w:val="Caption"/>
      </w:pPr>
      <w:r>
        <w:t>Exhibit 4.</w:t>
      </w:r>
      <w:r>
        <w:tab/>
        <w:t>Categorizing MD Regions Based on Total Population and Density</w:t>
      </w:r>
    </w:p>
    <w:tbl>
      <w:tblPr>
        <w:tblW w:w="6591" w:type="dxa"/>
        <w:tblLook w:val="04A0" w:firstRow="1" w:lastRow="0" w:firstColumn="1" w:lastColumn="0" w:noHBand="0" w:noVBand="1"/>
      </w:tblPr>
      <w:tblGrid>
        <w:gridCol w:w="1119"/>
        <w:gridCol w:w="888"/>
        <w:gridCol w:w="610"/>
        <w:gridCol w:w="1607"/>
        <w:gridCol w:w="888"/>
        <w:gridCol w:w="1479"/>
      </w:tblGrid>
      <w:tr w:rsidR="00B077C9" w:rsidRPr="00B077C9" w14:paraId="1C205799" w14:textId="77777777" w:rsidTr="00B077C9">
        <w:trPr>
          <w:trHeight w:val="272"/>
        </w:trPr>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D5A492" w14:textId="77777777" w:rsidR="00B077C9" w:rsidRPr="00B077C9" w:rsidRDefault="00B077C9" w:rsidP="00B077C9">
            <w:pPr>
              <w:spacing w:after="0"/>
              <w:jc w:val="center"/>
              <w:rPr>
                <w:rFonts w:ascii="Arial Narrow" w:hAnsi="Arial Narrow" w:cs="Calibri"/>
                <w:b/>
                <w:bCs/>
                <w:color w:val="000000"/>
                <w:sz w:val="20"/>
              </w:rPr>
            </w:pPr>
            <w:r w:rsidRPr="00B077C9">
              <w:rPr>
                <w:rFonts w:ascii="Arial Narrow" w:hAnsi="Arial Narrow" w:cs="Calibri"/>
                <w:b/>
                <w:bCs/>
                <w:color w:val="000000"/>
                <w:sz w:val="20"/>
              </w:rPr>
              <w:t> </w:t>
            </w:r>
          </w:p>
        </w:tc>
        <w:tc>
          <w:tcPr>
            <w:tcW w:w="5472" w:type="dxa"/>
            <w:gridSpan w:val="5"/>
            <w:tcBorders>
              <w:top w:val="single" w:sz="4" w:space="0" w:color="auto"/>
              <w:left w:val="nil"/>
              <w:bottom w:val="single" w:sz="4" w:space="0" w:color="auto"/>
              <w:right w:val="single" w:sz="4" w:space="0" w:color="000000"/>
            </w:tcBorders>
            <w:shd w:val="clear" w:color="auto" w:fill="auto"/>
            <w:noWrap/>
            <w:vAlign w:val="bottom"/>
            <w:hideMark/>
          </w:tcPr>
          <w:p w14:paraId="491740DE" w14:textId="77777777" w:rsidR="00B077C9" w:rsidRPr="00B077C9" w:rsidRDefault="00B077C9" w:rsidP="00B077C9">
            <w:pPr>
              <w:spacing w:after="0"/>
              <w:jc w:val="center"/>
              <w:rPr>
                <w:rFonts w:ascii="Arial Narrow" w:hAnsi="Arial Narrow" w:cs="Calibri"/>
                <w:b/>
                <w:bCs/>
                <w:color w:val="000000"/>
                <w:sz w:val="20"/>
              </w:rPr>
            </w:pPr>
            <w:r w:rsidRPr="00B077C9">
              <w:rPr>
                <w:rFonts w:ascii="Arial Narrow" w:hAnsi="Arial Narrow" w:cs="Calibri"/>
                <w:b/>
                <w:bCs/>
                <w:color w:val="000000"/>
                <w:sz w:val="20"/>
              </w:rPr>
              <w:t>Population Density</w:t>
            </w:r>
          </w:p>
        </w:tc>
      </w:tr>
      <w:tr w:rsidR="00B077C9" w:rsidRPr="00B077C9" w14:paraId="6F9E673C" w14:textId="77777777" w:rsidTr="00B077C9">
        <w:trPr>
          <w:trHeight w:val="314"/>
        </w:trPr>
        <w:tc>
          <w:tcPr>
            <w:tcW w:w="1119" w:type="dxa"/>
            <w:tcBorders>
              <w:top w:val="nil"/>
              <w:left w:val="single" w:sz="4" w:space="0" w:color="auto"/>
              <w:bottom w:val="single" w:sz="4" w:space="0" w:color="auto"/>
              <w:right w:val="single" w:sz="4" w:space="0" w:color="auto"/>
            </w:tcBorders>
            <w:shd w:val="clear" w:color="auto" w:fill="auto"/>
            <w:noWrap/>
            <w:vAlign w:val="bottom"/>
            <w:hideMark/>
          </w:tcPr>
          <w:p w14:paraId="1FCD3EFB" w14:textId="77777777" w:rsidR="00B077C9" w:rsidRPr="00B077C9" w:rsidRDefault="00B077C9" w:rsidP="00B077C9">
            <w:pPr>
              <w:spacing w:after="0"/>
              <w:jc w:val="center"/>
              <w:rPr>
                <w:rFonts w:ascii="Arial Narrow" w:hAnsi="Arial Narrow" w:cs="Calibri"/>
                <w:b/>
                <w:bCs/>
                <w:color w:val="000000"/>
                <w:sz w:val="20"/>
              </w:rPr>
            </w:pPr>
            <w:r w:rsidRPr="00B077C9">
              <w:rPr>
                <w:rFonts w:ascii="Arial Narrow" w:hAnsi="Arial Narrow" w:cs="Calibri"/>
                <w:b/>
                <w:bCs/>
                <w:color w:val="000000"/>
                <w:sz w:val="20"/>
              </w:rPr>
              <w:t> </w:t>
            </w:r>
          </w:p>
        </w:tc>
        <w:tc>
          <w:tcPr>
            <w:tcW w:w="888" w:type="dxa"/>
            <w:tcBorders>
              <w:top w:val="nil"/>
              <w:left w:val="nil"/>
              <w:bottom w:val="single" w:sz="4" w:space="0" w:color="auto"/>
              <w:right w:val="single" w:sz="4" w:space="0" w:color="auto"/>
            </w:tcBorders>
            <w:shd w:val="clear" w:color="auto" w:fill="auto"/>
            <w:noWrap/>
            <w:vAlign w:val="bottom"/>
            <w:hideMark/>
          </w:tcPr>
          <w:p w14:paraId="1FF5F814" w14:textId="77777777" w:rsidR="00B077C9" w:rsidRPr="00B077C9" w:rsidRDefault="00B077C9" w:rsidP="00B077C9">
            <w:pPr>
              <w:spacing w:after="0"/>
              <w:jc w:val="center"/>
              <w:rPr>
                <w:rFonts w:ascii="Arial Narrow" w:hAnsi="Arial Narrow" w:cs="Calibri"/>
                <w:b/>
                <w:bCs/>
                <w:color w:val="000000"/>
                <w:sz w:val="20"/>
              </w:rPr>
            </w:pPr>
            <w:r w:rsidRPr="00B077C9">
              <w:rPr>
                <w:rFonts w:ascii="Arial Narrow" w:hAnsi="Arial Narrow" w:cs="Calibri"/>
                <w:b/>
                <w:bCs/>
                <w:color w:val="000000"/>
                <w:sz w:val="20"/>
              </w:rPr>
              <w:t> </w:t>
            </w:r>
          </w:p>
        </w:tc>
        <w:tc>
          <w:tcPr>
            <w:tcW w:w="610" w:type="dxa"/>
            <w:tcBorders>
              <w:top w:val="nil"/>
              <w:left w:val="nil"/>
              <w:bottom w:val="single" w:sz="4" w:space="0" w:color="auto"/>
              <w:right w:val="single" w:sz="4" w:space="0" w:color="auto"/>
            </w:tcBorders>
            <w:shd w:val="clear" w:color="auto" w:fill="auto"/>
            <w:noWrap/>
            <w:vAlign w:val="bottom"/>
            <w:hideMark/>
          </w:tcPr>
          <w:p w14:paraId="3A3AE963" w14:textId="77777777" w:rsidR="00B077C9" w:rsidRPr="00B077C9" w:rsidRDefault="00B077C9" w:rsidP="00B077C9">
            <w:pPr>
              <w:spacing w:after="0"/>
              <w:jc w:val="center"/>
              <w:rPr>
                <w:rFonts w:ascii="Arial Narrow" w:hAnsi="Arial Narrow" w:cs="Calibri"/>
                <w:b/>
                <w:bCs/>
                <w:color w:val="000000"/>
                <w:sz w:val="20"/>
              </w:rPr>
            </w:pPr>
            <w:r w:rsidRPr="00B077C9">
              <w:rPr>
                <w:rFonts w:ascii="Arial Narrow" w:hAnsi="Arial Narrow" w:cs="Calibri"/>
                <w:b/>
                <w:bCs/>
                <w:color w:val="000000"/>
                <w:sz w:val="20"/>
              </w:rPr>
              <w:t>&lt;25</w:t>
            </w:r>
          </w:p>
        </w:tc>
        <w:tc>
          <w:tcPr>
            <w:tcW w:w="1607" w:type="dxa"/>
            <w:tcBorders>
              <w:top w:val="nil"/>
              <w:left w:val="nil"/>
              <w:bottom w:val="single" w:sz="4" w:space="0" w:color="auto"/>
              <w:right w:val="single" w:sz="4" w:space="0" w:color="auto"/>
            </w:tcBorders>
            <w:shd w:val="clear" w:color="auto" w:fill="auto"/>
            <w:noWrap/>
            <w:vAlign w:val="bottom"/>
            <w:hideMark/>
          </w:tcPr>
          <w:p w14:paraId="011857CE" w14:textId="77777777" w:rsidR="00B077C9" w:rsidRPr="00B077C9" w:rsidRDefault="00B077C9" w:rsidP="00B077C9">
            <w:pPr>
              <w:spacing w:after="0"/>
              <w:jc w:val="center"/>
              <w:rPr>
                <w:rFonts w:ascii="Arial Narrow" w:hAnsi="Arial Narrow" w:cs="Calibri"/>
                <w:b/>
                <w:bCs/>
                <w:color w:val="000000"/>
                <w:sz w:val="20"/>
              </w:rPr>
            </w:pPr>
            <w:r w:rsidRPr="00B077C9">
              <w:rPr>
                <w:rFonts w:ascii="Arial Narrow" w:hAnsi="Arial Narrow" w:cs="Calibri"/>
                <w:b/>
                <w:bCs/>
                <w:color w:val="000000"/>
                <w:sz w:val="20"/>
              </w:rPr>
              <w:t>25-50</w:t>
            </w:r>
          </w:p>
        </w:tc>
        <w:tc>
          <w:tcPr>
            <w:tcW w:w="888" w:type="dxa"/>
            <w:tcBorders>
              <w:top w:val="nil"/>
              <w:left w:val="nil"/>
              <w:bottom w:val="single" w:sz="4" w:space="0" w:color="auto"/>
              <w:right w:val="single" w:sz="4" w:space="0" w:color="auto"/>
            </w:tcBorders>
            <w:shd w:val="clear" w:color="auto" w:fill="auto"/>
            <w:noWrap/>
            <w:vAlign w:val="bottom"/>
            <w:hideMark/>
          </w:tcPr>
          <w:p w14:paraId="1DED2F56" w14:textId="77777777" w:rsidR="00B077C9" w:rsidRPr="00B077C9" w:rsidRDefault="00B077C9" w:rsidP="00B077C9">
            <w:pPr>
              <w:spacing w:after="0"/>
              <w:jc w:val="center"/>
              <w:rPr>
                <w:rFonts w:ascii="Arial Narrow" w:hAnsi="Arial Narrow" w:cs="Calibri"/>
                <w:b/>
                <w:bCs/>
                <w:color w:val="000000"/>
                <w:sz w:val="20"/>
              </w:rPr>
            </w:pPr>
            <w:r w:rsidRPr="00B077C9">
              <w:rPr>
                <w:rFonts w:ascii="Arial Narrow" w:hAnsi="Arial Narrow" w:cs="Calibri"/>
                <w:b/>
                <w:bCs/>
                <w:color w:val="000000"/>
                <w:sz w:val="20"/>
              </w:rPr>
              <w:t>50-75</w:t>
            </w:r>
          </w:p>
        </w:tc>
        <w:tc>
          <w:tcPr>
            <w:tcW w:w="1479" w:type="dxa"/>
            <w:tcBorders>
              <w:top w:val="nil"/>
              <w:left w:val="nil"/>
              <w:bottom w:val="single" w:sz="4" w:space="0" w:color="auto"/>
              <w:right w:val="single" w:sz="4" w:space="0" w:color="auto"/>
            </w:tcBorders>
            <w:shd w:val="clear" w:color="auto" w:fill="auto"/>
            <w:noWrap/>
            <w:vAlign w:val="bottom"/>
            <w:hideMark/>
          </w:tcPr>
          <w:p w14:paraId="2F3DC43F" w14:textId="77777777" w:rsidR="00B077C9" w:rsidRPr="00B077C9" w:rsidRDefault="00B077C9" w:rsidP="00B077C9">
            <w:pPr>
              <w:spacing w:after="0"/>
              <w:jc w:val="center"/>
              <w:rPr>
                <w:rFonts w:ascii="Arial Narrow" w:hAnsi="Arial Narrow" w:cs="Calibri"/>
                <w:b/>
                <w:bCs/>
                <w:color w:val="000000"/>
                <w:sz w:val="20"/>
              </w:rPr>
            </w:pPr>
            <w:r w:rsidRPr="00B077C9">
              <w:rPr>
                <w:rFonts w:ascii="Calibri" w:hAnsi="Calibri" w:cs="Calibri"/>
                <w:b/>
                <w:bCs/>
                <w:color w:val="000000"/>
                <w:sz w:val="20"/>
              </w:rPr>
              <w:t>≥</w:t>
            </w:r>
            <w:r w:rsidRPr="00B077C9">
              <w:rPr>
                <w:rFonts w:ascii="Arial Narrow" w:hAnsi="Arial Narrow" w:cs="Calibri"/>
                <w:b/>
                <w:bCs/>
                <w:color w:val="000000"/>
                <w:sz w:val="20"/>
              </w:rPr>
              <w:t>75</w:t>
            </w:r>
          </w:p>
        </w:tc>
      </w:tr>
      <w:tr w:rsidR="00B077C9" w:rsidRPr="00B077C9" w14:paraId="52F319A1" w14:textId="77777777" w:rsidTr="00B077C9">
        <w:trPr>
          <w:trHeight w:val="282"/>
        </w:trPr>
        <w:tc>
          <w:tcPr>
            <w:tcW w:w="1119" w:type="dxa"/>
            <w:vMerge w:val="restart"/>
            <w:tcBorders>
              <w:top w:val="nil"/>
              <w:left w:val="single" w:sz="4" w:space="0" w:color="auto"/>
              <w:bottom w:val="single" w:sz="4" w:space="0" w:color="000000"/>
              <w:right w:val="single" w:sz="4" w:space="0" w:color="auto"/>
            </w:tcBorders>
            <w:shd w:val="clear" w:color="auto" w:fill="auto"/>
            <w:vAlign w:val="center"/>
            <w:hideMark/>
          </w:tcPr>
          <w:p w14:paraId="2AEB4FCA" w14:textId="77777777" w:rsidR="00B077C9" w:rsidRPr="00B077C9" w:rsidRDefault="00B077C9" w:rsidP="00B077C9">
            <w:pPr>
              <w:spacing w:after="0"/>
              <w:jc w:val="center"/>
              <w:rPr>
                <w:rFonts w:ascii="Arial Narrow" w:hAnsi="Arial Narrow" w:cs="Calibri"/>
                <w:b/>
                <w:bCs/>
                <w:color w:val="000000"/>
                <w:sz w:val="20"/>
              </w:rPr>
            </w:pPr>
            <w:r w:rsidRPr="00B077C9">
              <w:rPr>
                <w:rFonts w:ascii="Arial Narrow" w:hAnsi="Arial Narrow" w:cs="Calibri"/>
                <w:b/>
                <w:bCs/>
                <w:color w:val="000000"/>
                <w:sz w:val="20"/>
              </w:rPr>
              <w:t>Total Population</w:t>
            </w:r>
          </w:p>
        </w:tc>
        <w:tc>
          <w:tcPr>
            <w:tcW w:w="888" w:type="dxa"/>
            <w:tcBorders>
              <w:top w:val="nil"/>
              <w:left w:val="nil"/>
              <w:bottom w:val="single" w:sz="4" w:space="0" w:color="auto"/>
              <w:right w:val="single" w:sz="4" w:space="0" w:color="auto"/>
            </w:tcBorders>
            <w:shd w:val="clear" w:color="auto" w:fill="auto"/>
            <w:noWrap/>
            <w:vAlign w:val="bottom"/>
            <w:hideMark/>
          </w:tcPr>
          <w:p w14:paraId="2060B24E" w14:textId="77777777" w:rsidR="00B077C9" w:rsidRPr="00B077C9" w:rsidRDefault="00B077C9" w:rsidP="00B077C9">
            <w:pPr>
              <w:spacing w:after="0"/>
              <w:jc w:val="center"/>
              <w:rPr>
                <w:rFonts w:ascii="Arial Narrow" w:hAnsi="Arial Narrow" w:cs="Calibri"/>
                <w:b/>
                <w:bCs/>
                <w:color w:val="000000"/>
                <w:sz w:val="20"/>
              </w:rPr>
            </w:pPr>
            <w:r w:rsidRPr="00B077C9">
              <w:rPr>
                <w:rFonts w:ascii="Arial Narrow" w:hAnsi="Arial Narrow" w:cs="Calibri"/>
                <w:b/>
                <w:bCs/>
                <w:color w:val="000000"/>
                <w:sz w:val="20"/>
              </w:rPr>
              <w:t>&lt;25</w:t>
            </w:r>
          </w:p>
        </w:tc>
        <w:tc>
          <w:tcPr>
            <w:tcW w:w="610" w:type="dxa"/>
            <w:tcBorders>
              <w:top w:val="nil"/>
              <w:left w:val="nil"/>
              <w:bottom w:val="single" w:sz="4" w:space="0" w:color="auto"/>
              <w:right w:val="single" w:sz="4" w:space="0" w:color="auto"/>
            </w:tcBorders>
            <w:shd w:val="clear" w:color="auto" w:fill="auto"/>
            <w:noWrap/>
            <w:vAlign w:val="bottom"/>
            <w:hideMark/>
          </w:tcPr>
          <w:p w14:paraId="38A51D79" w14:textId="77777777" w:rsidR="00B077C9" w:rsidRPr="00B077C9" w:rsidRDefault="00B077C9" w:rsidP="00B077C9">
            <w:pPr>
              <w:spacing w:after="0"/>
              <w:jc w:val="center"/>
              <w:rPr>
                <w:rFonts w:ascii="Arial Narrow" w:hAnsi="Arial Narrow" w:cs="Calibri"/>
                <w:color w:val="000000"/>
                <w:sz w:val="20"/>
              </w:rPr>
            </w:pPr>
            <w:r w:rsidRPr="00B077C9">
              <w:rPr>
                <w:rFonts w:ascii="Arial Narrow" w:hAnsi="Arial Narrow" w:cs="Calibri"/>
                <w:color w:val="000000"/>
                <w:sz w:val="20"/>
              </w:rPr>
              <w:t>-</w:t>
            </w:r>
          </w:p>
        </w:tc>
        <w:tc>
          <w:tcPr>
            <w:tcW w:w="1607" w:type="dxa"/>
            <w:tcBorders>
              <w:top w:val="nil"/>
              <w:left w:val="nil"/>
              <w:bottom w:val="single" w:sz="4" w:space="0" w:color="auto"/>
              <w:right w:val="single" w:sz="4" w:space="0" w:color="auto"/>
            </w:tcBorders>
            <w:shd w:val="clear" w:color="auto" w:fill="auto"/>
            <w:noWrap/>
            <w:vAlign w:val="bottom"/>
            <w:hideMark/>
          </w:tcPr>
          <w:p w14:paraId="31687B35" w14:textId="77777777" w:rsidR="00B077C9" w:rsidRPr="00B077C9" w:rsidRDefault="00B077C9" w:rsidP="00B077C9">
            <w:pPr>
              <w:spacing w:after="0"/>
              <w:jc w:val="center"/>
              <w:rPr>
                <w:rFonts w:ascii="Arial Narrow" w:hAnsi="Arial Narrow" w:cs="Calibri"/>
                <w:color w:val="000000"/>
                <w:sz w:val="20"/>
              </w:rPr>
            </w:pPr>
            <w:r w:rsidRPr="00B077C9">
              <w:rPr>
                <w:rFonts w:ascii="Arial Narrow" w:hAnsi="Arial Narrow" w:cs="Calibri"/>
                <w:color w:val="000000"/>
                <w:sz w:val="20"/>
              </w:rPr>
              <w:t>-</w:t>
            </w:r>
          </w:p>
        </w:tc>
        <w:tc>
          <w:tcPr>
            <w:tcW w:w="888" w:type="dxa"/>
            <w:tcBorders>
              <w:top w:val="nil"/>
              <w:left w:val="nil"/>
              <w:bottom w:val="single" w:sz="4" w:space="0" w:color="auto"/>
              <w:right w:val="single" w:sz="4" w:space="0" w:color="auto"/>
            </w:tcBorders>
            <w:shd w:val="clear" w:color="auto" w:fill="auto"/>
            <w:noWrap/>
            <w:vAlign w:val="bottom"/>
            <w:hideMark/>
          </w:tcPr>
          <w:p w14:paraId="104B6857" w14:textId="77777777" w:rsidR="00B077C9" w:rsidRPr="00B077C9" w:rsidRDefault="00B077C9" w:rsidP="00B077C9">
            <w:pPr>
              <w:spacing w:after="0"/>
              <w:jc w:val="center"/>
              <w:rPr>
                <w:rFonts w:ascii="Arial Narrow" w:hAnsi="Arial Narrow" w:cs="Calibri"/>
                <w:color w:val="000000"/>
                <w:sz w:val="20"/>
              </w:rPr>
            </w:pPr>
            <w:r w:rsidRPr="00B077C9">
              <w:rPr>
                <w:rFonts w:ascii="Arial Narrow" w:hAnsi="Arial Narrow" w:cs="Calibri"/>
                <w:color w:val="000000"/>
                <w:sz w:val="20"/>
              </w:rPr>
              <w:t>-</w:t>
            </w:r>
          </w:p>
        </w:tc>
        <w:tc>
          <w:tcPr>
            <w:tcW w:w="1479" w:type="dxa"/>
            <w:tcBorders>
              <w:top w:val="nil"/>
              <w:left w:val="nil"/>
              <w:bottom w:val="single" w:sz="4" w:space="0" w:color="auto"/>
              <w:right w:val="single" w:sz="4" w:space="0" w:color="auto"/>
            </w:tcBorders>
            <w:shd w:val="clear" w:color="auto" w:fill="auto"/>
            <w:noWrap/>
            <w:vAlign w:val="bottom"/>
            <w:hideMark/>
          </w:tcPr>
          <w:p w14:paraId="37EE7B0B" w14:textId="77777777" w:rsidR="00B077C9" w:rsidRPr="00B077C9" w:rsidRDefault="00B077C9" w:rsidP="00B077C9">
            <w:pPr>
              <w:spacing w:after="0"/>
              <w:jc w:val="center"/>
              <w:rPr>
                <w:rFonts w:ascii="Arial Narrow" w:hAnsi="Arial Narrow" w:cs="Calibri"/>
                <w:color w:val="000000"/>
                <w:sz w:val="20"/>
              </w:rPr>
            </w:pPr>
            <w:r w:rsidRPr="00B077C9">
              <w:rPr>
                <w:rFonts w:ascii="Arial Narrow" w:hAnsi="Arial Narrow" w:cs="Calibri"/>
                <w:color w:val="000000"/>
                <w:sz w:val="20"/>
              </w:rPr>
              <w:t>-</w:t>
            </w:r>
          </w:p>
        </w:tc>
      </w:tr>
      <w:tr w:rsidR="00B077C9" w:rsidRPr="00B077C9" w14:paraId="6A02E5B8" w14:textId="77777777" w:rsidTr="00B077C9">
        <w:trPr>
          <w:trHeight w:val="272"/>
        </w:trPr>
        <w:tc>
          <w:tcPr>
            <w:tcW w:w="1119" w:type="dxa"/>
            <w:vMerge/>
            <w:tcBorders>
              <w:top w:val="nil"/>
              <w:left w:val="single" w:sz="4" w:space="0" w:color="auto"/>
              <w:bottom w:val="single" w:sz="4" w:space="0" w:color="000000"/>
              <w:right w:val="single" w:sz="4" w:space="0" w:color="auto"/>
            </w:tcBorders>
            <w:vAlign w:val="center"/>
            <w:hideMark/>
          </w:tcPr>
          <w:p w14:paraId="532B1E03" w14:textId="77777777" w:rsidR="00B077C9" w:rsidRPr="00B077C9" w:rsidRDefault="00B077C9" w:rsidP="00B077C9">
            <w:pPr>
              <w:spacing w:after="0"/>
              <w:rPr>
                <w:rFonts w:ascii="Arial Narrow" w:hAnsi="Arial Narrow" w:cs="Calibri"/>
                <w:b/>
                <w:bCs/>
                <w:color w:val="000000"/>
                <w:sz w:val="20"/>
              </w:rPr>
            </w:pPr>
          </w:p>
        </w:tc>
        <w:tc>
          <w:tcPr>
            <w:tcW w:w="888" w:type="dxa"/>
            <w:tcBorders>
              <w:top w:val="nil"/>
              <w:left w:val="nil"/>
              <w:bottom w:val="single" w:sz="4" w:space="0" w:color="auto"/>
              <w:right w:val="single" w:sz="4" w:space="0" w:color="auto"/>
            </w:tcBorders>
            <w:shd w:val="clear" w:color="auto" w:fill="auto"/>
            <w:noWrap/>
            <w:vAlign w:val="bottom"/>
            <w:hideMark/>
          </w:tcPr>
          <w:p w14:paraId="382B41D7" w14:textId="77777777" w:rsidR="00B077C9" w:rsidRPr="00B077C9" w:rsidRDefault="00B077C9" w:rsidP="00B077C9">
            <w:pPr>
              <w:spacing w:after="0"/>
              <w:jc w:val="center"/>
              <w:rPr>
                <w:rFonts w:ascii="Arial Narrow" w:hAnsi="Arial Narrow" w:cs="Calibri"/>
                <w:b/>
                <w:bCs/>
                <w:color w:val="000000"/>
                <w:sz w:val="20"/>
              </w:rPr>
            </w:pPr>
            <w:r w:rsidRPr="00B077C9">
              <w:rPr>
                <w:rFonts w:ascii="Arial Narrow" w:hAnsi="Arial Narrow" w:cs="Calibri"/>
                <w:b/>
                <w:bCs/>
                <w:color w:val="000000"/>
                <w:sz w:val="20"/>
              </w:rPr>
              <w:t>25-50</w:t>
            </w:r>
          </w:p>
        </w:tc>
        <w:tc>
          <w:tcPr>
            <w:tcW w:w="610" w:type="dxa"/>
            <w:tcBorders>
              <w:top w:val="nil"/>
              <w:left w:val="nil"/>
              <w:bottom w:val="single" w:sz="4" w:space="0" w:color="auto"/>
              <w:right w:val="single" w:sz="4" w:space="0" w:color="auto"/>
            </w:tcBorders>
            <w:shd w:val="clear" w:color="auto" w:fill="auto"/>
            <w:noWrap/>
            <w:vAlign w:val="bottom"/>
            <w:hideMark/>
          </w:tcPr>
          <w:p w14:paraId="6E89AC65" w14:textId="77777777" w:rsidR="00B077C9" w:rsidRPr="00B077C9" w:rsidRDefault="00B077C9" w:rsidP="00B077C9">
            <w:pPr>
              <w:spacing w:after="0"/>
              <w:jc w:val="center"/>
              <w:rPr>
                <w:rFonts w:ascii="Arial Narrow" w:hAnsi="Arial Narrow" w:cs="Calibri"/>
                <w:color w:val="000000"/>
                <w:sz w:val="20"/>
              </w:rPr>
            </w:pPr>
            <w:r w:rsidRPr="00B077C9">
              <w:rPr>
                <w:rFonts w:ascii="Arial Narrow" w:hAnsi="Arial Narrow" w:cs="Calibri"/>
                <w:color w:val="000000"/>
                <w:sz w:val="20"/>
              </w:rPr>
              <w:t>-</w:t>
            </w:r>
          </w:p>
        </w:tc>
        <w:tc>
          <w:tcPr>
            <w:tcW w:w="1607" w:type="dxa"/>
            <w:tcBorders>
              <w:top w:val="nil"/>
              <w:left w:val="nil"/>
              <w:bottom w:val="single" w:sz="4" w:space="0" w:color="auto"/>
              <w:right w:val="single" w:sz="4" w:space="0" w:color="auto"/>
            </w:tcBorders>
            <w:shd w:val="clear" w:color="auto" w:fill="auto"/>
            <w:noWrap/>
            <w:vAlign w:val="bottom"/>
            <w:hideMark/>
          </w:tcPr>
          <w:p w14:paraId="32A78FFC" w14:textId="77777777" w:rsidR="00B077C9" w:rsidRPr="00B077C9" w:rsidRDefault="00B077C9" w:rsidP="00B077C9">
            <w:pPr>
              <w:spacing w:after="0"/>
              <w:jc w:val="center"/>
              <w:rPr>
                <w:rFonts w:ascii="Arial Narrow" w:hAnsi="Arial Narrow" w:cs="Calibri"/>
                <w:color w:val="000000"/>
                <w:sz w:val="20"/>
              </w:rPr>
            </w:pPr>
            <w:r w:rsidRPr="00B077C9">
              <w:rPr>
                <w:rFonts w:ascii="Arial Narrow" w:hAnsi="Arial Narrow" w:cs="Calibri"/>
                <w:color w:val="000000"/>
                <w:sz w:val="20"/>
              </w:rPr>
              <w:t>-</w:t>
            </w:r>
          </w:p>
        </w:tc>
        <w:tc>
          <w:tcPr>
            <w:tcW w:w="888" w:type="dxa"/>
            <w:tcBorders>
              <w:top w:val="nil"/>
              <w:left w:val="nil"/>
              <w:bottom w:val="single" w:sz="4" w:space="0" w:color="auto"/>
              <w:right w:val="single" w:sz="4" w:space="0" w:color="auto"/>
            </w:tcBorders>
            <w:shd w:val="clear" w:color="auto" w:fill="auto"/>
            <w:noWrap/>
            <w:vAlign w:val="bottom"/>
            <w:hideMark/>
          </w:tcPr>
          <w:p w14:paraId="614B8299" w14:textId="77777777" w:rsidR="00B077C9" w:rsidRPr="00B077C9" w:rsidRDefault="00B077C9" w:rsidP="00B077C9">
            <w:pPr>
              <w:spacing w:after="0"/>
              <w:jc w:val="center"/>
              <w:rPr>
                <w:rFonts w:ascii="Arial Narrow" w:hAnsi="Arial Narrow" w:cs="Calibri"/>
                <w:color w:val="000000"/>
                <w:sz w:val="20"/>
              </w:rPr>
            </w:pPr>
            <w:r w:rsidRPr="00B077C9">
              <w:rPr>
                <w:rFonts w:ascii="Arial Narrow" w:hAnsi="Arial Narrow" w:cs="Calibri"/>
                <w:color w:val="000000"/>
                <w:sz w:val="20"/>
              </w:rPr>
              <w:t>-</w:t>
            </w:r>
          </w:p>
        </w:tc>
        <w:tc>
          <w:tcPr>
            <w:tcW w:w="1479" w:type="dxa"/>
            <w:tcBorders>
              <w:top w:val="nil"/>
              <w:left w:val="nil"/>
              <w:bottom w:val="single" w:sz="4" w:space="0" w:color="auto"/>
              <w:right w:val="single" w:sz="4" w:space="0" w:color="auto"/>
            </w:tcBorders>
            <w:shd w:val="clear" w:color="auto" w:fill="auto"/>
            <w:noWrap/>
            <w:vAlign w:val="bottom"/>
            <w:hideMark/>
          </w:tcPr>
          <w:p w14:paraId="28DE0F6F" w14:textId="77777777" w:rsidR="00B077C9" w:rsidRPr="00B077C9" w:rsidRDefault="00B077C9" w:rsidP="00B077C9">
            <w:pPr>
              <w:spacing w:after="0"/>
              <w:jc w:val="center"/>
              <w:rPr>
                <w:rFonts w:ascii="Arial Narrow" w:hAnsi="Arial Narrow" w:cs="Calibri"/>
                <w:color w:val="000000"/>
                <w:sz w:val="20"/>
              </w:rPr>
            </w:pPr>
            <w:r w:rsidRPr="00B077C9">
              <w:rPr>
                <w:rFonts w:ascii="Arial Narrow" w:hAnsi="Arial Narrow" w:cs="Calibri"/>
                <w:color w:val="000000"/>
                <w:sz w:val="20"/>
              </w:rPr>
              <w:t>-</w:t>
            </w:r>
          </w:p>
        </w:tc>
      </w:tr>
      <w:tr w:rsidR="00B077C9" w:rsidRPr="00B077C9" w14:paraId="5144BC8B" w14:textId="77777777" w:rsidTr="00B077C9">
        <w:trPr>
          <w:trHeight w:val="314"/>
        </w:trPr>
        <w:tc>
          <w:tcPr>
            <w:tcW w:w="1119" w:type="dxa"/>
            <w:vMerge/>
            <w:tcBorders>
              <w:top w:val="nil"/>
              <w:left w:val="single" w:sz="4" w:space="0" w:color="auto"/>
              <w:bottom w:val="single" w:sz="4" w:space="0" w:color="000000"/>
              <w:right w:val="single" w:sz="4" w:space="0" w:color="auto"/>
            </w:tcBorders>
            <w:vAlign w:val="center"/>
            <w:hideMark/>
          </w:tcPr>
          <w:p w14:paraId="0C33C03A" w14:textId="77777777" w:rsidR="00B077C9" w:rsidRPr="00B077C9" w:rsidRDefault="00B077C9" w:rsidP="00B077C9">
            <w:pPr>
              <w:spacing w:after="0"/>
              <w:rPr>
                <w:rFonts w:ascii="Arial Narrow" w:hAnsi="Arial Narrow" w:cs="Calibri"/>
                <w:b/>
                <w:bCs/>
                <w:color w:val="000000"/>
                <w:sz w:val="20"/>
              </w:rPr>
            </w:pPr>
          </w:p>
        </w:tc>
        <w:tc>
          <w:tcPr>
            <w:tcW w:w="888" w:type="dxa"/>
            <w:tcBorders>
              <w:top w:val="nil"/>
              <w:left w:val="nil"/>
              <w:bottom w:val="single" w:sz="4" w:space="0" w:color="auto"/>
              <w:right w:val="single" w:sz="4" w:space="0" w:color="auto"/>
            </w:tcBorders>
            <w:shd w:val="clear" w:color="auto" w:fill="auto"/>
            <w:noWrap/>
            <w:vAlign w:val="bottom"/>
            <w:hideMark/>
          </w:tcPr>
          <w:p w14:paraId="386238A1" w14:textId="77777777" w:rsidR="00B077C9" w:rsidRPr="00B077C9" w:rsidRDefault="00B077C9" w:rsidP="00B077C9">
            <w:pPr>
              <w:spacing w:after="0"/>
              <w:jc w:val="center"/>
              <w:rPr>
                <w:rFonts w:ascii="Arial Narrow" w:hAnsi="Arial Narrow" w:cs="Calibri"/>
                <w:b/>
                <w:bCs/>
                <w:color w:val="000000"/>
                <w:sz w:val="20"/>
              </w:rPr>
            </w:pPr>
            <w:r w:rsidRPr="00B077C9">
              <w:rPr>
                <w:rFonts w:ascii="Arial Narrow" w:hAnsi="Arial Narrow" w:cs="Calibri"/>
                <w:b/>
                <w:bCs/>
                <w:color w:val="000000"/>
                <w:sz w:val="20"/>
              </w:rPr>
              <w:t>50-75</w:t>
            </w:r>
          </w:p>
        </w:tc>
        <w:tc>
          <w:tcPr>
            <w:tcW w:w="610" w:type="dxa"/>
            <w:tcBorders>
              <w:top w:val="nil"/>
              <w:left w:val="nil"/>
              <w:bottom w:val="single" w:sz="4" w:space="0" w:color="auto"/>
              <w:right w:val="single" w:sz="4" w:space="0" w:color="auto"/>
            </w:tcBorders>
            <w:shd w:val="clear" w:color="auto" w:fill="auto"/>
            <w:noWrap/>
            <w:vAlign w:val="bottom"/>
            <w:hideMark/>
          </w:tcPr>
          <w:p w14:paraId="2B233DE0" w14:textId="77777777" w:rsidR="00B077C9" w:rsidRPr="00B077C9" w:rsidRDefault="00B077C9" w:rsidP="00B077C9">
            <w:pPr>
              <w:spacing w:after="0"/>
              <w:jc w:val="center"/>
              <w:rPr>
                <w:rFonts w:ascii="Arial Narrow" w:hAnsi="Arial Narrow" w:cs="Calibri"/>
                <w:color w:val="000000"/>
                <w:sz w:val="20"/>
              </w:rPr>
            </w:pPr>
            <w:r w:rsidRPr="00B077C9">
              <w:rPr>
                <w:rFonts w:ascii="Arial Narrow" w:hAnsi="Arial Narrow" w:cs="Calibri"/>
                <w:color w:val="000000"/>
                <w:sz w:val="20"/>
              </w:rPr>
              <w:t>-</w:t>
            </w:r>
          </w:p>
        </w:tc>
        <w:tc>
          <w:tcPr>
            <w:tcW w:w="1607" w:type="dxa"/>
            <w:tcBorders>
              <w:top w:val="nil"/>
              <w:left w:val="nil"/>
              <w:bottom w:val="single" w:sz="4" w:space="0" w:color="auto"/>
              <w:right w:val="single" w:sz="4" w:space="0" w:color="auto"/>
            </w:tcBorders>
            <w:shd w:val="clear" w:color="000000" w:fill="DCE6F1"/>
            <w:noWrap/>
            <w:vAlign w:val="bottom"/>
            <w:hideMark/>
          </w:tcPr>
          <w:p w14:paraId="0209757F" w14:textId="6B684921" w:rsidR="00B077C9" w:rsidRPr="00B077C9" w:rsidRDefault="00B077C9" w:rsidP="00B077C9">
            <w:pPr>
              <w:spacing w:after="0"/>
              <w:jc w:val="center"/>
              <w:rPr>
                <w:rFonts w:ascii="Arial Narrow" w:hAnsi="Arial Narrow" w:cs="Calibri"/>
                <w:color w:val="000000"/>
                <w:sz w:val="20"/>
              </w:rPr>
            </w:pPr>
            <w:r w:rsidRPr="00B077C9">
              <w:rPr>
                <w:rFonts w:ascii="Arial Narrow" w:hAnsi="Arial Narrow" w:cs="Calibri"/>
                <w:color w:val="000000"/>
                <w:sz w:val="20"/>
              </w:rPr>
              <w:t>MD</w:t>
            </w:r>
            <w:r>
              <w:rPr>
                <w:rFonts w:ascii="Arial Narrow" w:hAnsi="Arial Narrow" w:cs="Calibri"/>
                <w:color w:val="000000"/>
                <w:sz w:val="20"/>
              </w:rPr>
              <w:t>2</w:t>
            </w:r>
            <w:r w:rsidRPr="00B077C9">
              <w:rPr>
                <w:rFonts w:ascii="Arial Narrow" w:hAnsi="Arial Narrow" w:cs="Calibri"/>
                <w:color w:val="000000"/>
                <w:sz w:val="20"/>
              </w:rPr>
              <w:t>, MD</w:t>
            </w:r>
            <w:r>
              <w:rPr>
                <w:rFonts w:ascii="Arial Narrow" w:hAnsi="Arial Narrow" w:cs="Calibri"/>
                <w:color w:val="000000"/>
                <w:sz w:val="20"/>
              </w:rPr>
              <w:t>3</w:t>
            </w:r>
          </w:p>
        </w:tc>
        <w:tc>
          <w:tcPr>
            <w:tcW w:w="888" w:type="dxa"/>
            <w:tcBorders>
              <w:top w:val="nil"/>
              <w:left w:val="nil"/>
              <w:bottom w:val="single" w:sz="4" w:space="0" w:color="auto"/>
              <w:right w:val="single" w:sz="4" w:space="0" w:color="auto"/>
            </w:tcBorders>
            <w:shd w:val="clear" w:color="auto" w:fill="auto"/>
            <w:noWrap/>
            <w:vAlign w:val="bottom"/>
            <w:hideMark/>
          </w:tcPr>
          <w:p w14:paraId="3FED48AD" w14:textId="77777777" w:rsidR="00B077C9" w:rsidRPr="00B077C9" w:rsidRDefault="00B077C9" w:rsidP="00B077C9">
            <w:pPr>
              <w:spacing w:after="0"/>
              <w:jc w:val="center"/>
              <w:rPr>
                <w:rFonts w:ascii="Arial Narrow" w:hAnsi="Arial Narrow" w:cs="Calibri"/>
                <w:color w:val="000000"/>
                <w:sz w:val="20"/>
              </w:rPr>
            </w:pPr>
            <w:r w:rsidRPr="00B077C9">
              <w:rPr>
                <w:rFonts w:ascii="Arial Narrow" w:hAnsi="Arial Narrow" w:cs="Calibri"/>
                <w:color w:val="000000"/>
                <w:sz w:val="20"/>
              </w:rPr>
              <w:t>-</w:t>
            </w:r>
          </w:p>
        </w:tc>
        <w:tc>
          <w:tcPr>
            <w:tcW w:w="1479" w:type="dxa"/>
            <w:tcBorders>
              <w:top w:val="nil"/>
              <w:left w:val="nil"/>
              <w:bottom w:val="single" w:sz="4" w:space="0" w:color="auto"/>
              <w:right w:val="single" w:sz="4" w:space="0" w:color="auto"/>
            </w:tcBorders>
            <w:shd w:val="clear" w:color="auto" w:fill="auto"/>
            <w:noWrap/>
            <w:vAlign w:val="bottom"/>
            <w:hideMark/>
          </w:tcPr>
          <w:p w14:paraId="0D09EFE4" w14:textId="77777777" w:rsidR="00B077C9" w:rsidRPr="00B077C9" w:rsidRDefault="00B077C9" w:rsidP="00B077C9">
            <w:pPr>
              <w:spacing w:after="0"/>
              <w:jc w:val="center"/>
              <w:rPr>
                <w:rFonts w:ascii="Arial Narrow" w:hAnsi="Arial Narrow" w:cs="Calibri"/>
                <w:color w:val="000000"/>
                <w:sz w:val="20"/>
              </w:rPr>
            </w:pPr>
            <w:r w:rsidRPr="00B077C9">
              <w:rPr>
                <w:rFonts w:ascii="Arial Narrow" w:hAnsi="Arial Narrow" w:cs="Calibri"/>
                <w:color w:val="000000"/>
                <w:sz w:val="20"/>
              </w:rPr>
              <w:t>-</w:t>
            </w:r>
          </w:p>
        </w:tc>
      </w:tr>
      <w:tr w:rsidR="00B077C9" w:rsidRPr="00B077C9" w14:paraId="57791D45" w14:textId="77777777" w:rsidTr="00B077C9">
        <w:trPr>
          <w:trHeight w:val="314"/>
        </w:trPr>
        <w:tc>
          <w:tcPr>
            <w:tcW w:w="1119" w:type="dxa"/>
            <w:vMerge/>
            <w:tcBorders>
              <w:top w:val="nil"/>
              <w:left w:val="single" w:sz="4" w:space="0" w:color="auto"/>
              <w:bottom w:val="single" w:sz="4" w:space="0" w:color="000000"/>
              <w:right w:val="single" w:sz="4" w:space="0" w:color="auto"/>
            </w:tcBorders>
            <w:vAlign w:val="center"/>
            <w:hideMark/>
          </w:tcPr>
          <w:p w14:paraId="5501FB9C" w14:textId="77777777" w:rsidR="00B077C9" w:rsidRPr="00B077C9" w:rsidRDefault="00B077C9" w:rsidP="00B077C9">
            <w:pPr>
              <w:spacing w:after="0"/>
              <w:rPr>
                <w:rFonts w:ascii="Arial Narrow" w:hAnsi="Arial Narrow" w:cs="Calibri"/>
                <w:b/>
                <w:bCs/>
                <w:color w:val="000000"/>
                <w:sz w:val="20"/>
              </w:rPr>
            </w:pPr>
          </w:p>
        </w:tc>
        <w:tc>
          <w:tcPr>
            <w:tcW w:w="888" w:type="dxa"/>
            <w:tcBorders>
              <w:top w:val="nil"/>
              <w:left w:val="nil"/>
              <w:bottom w:val="single" w:sz="4" w:space="0" w:color="auto"/>
              <w:right w:val="single" w:sz="4" w:space="0" w:color="auto"/>
            </w:tcBorders>
            <w:shd w:val="clear" w:color="auto" w:fill="auto"/>
            <w:noWrap/>
            <w:vAlign w:val="bottom"/>
            <w:hideMark/>
          </w:tcPr>
          <w:p w14:paraId="481E64B7" w14:textId="77777777" w:rsidR="00B077C9" w:rsidRPr="00B077C9" w:rsidRDefault="00B077C9" w:rsidP="00B077C9">
            <w:pPr>
              <w:spacing w:after="0"/>
              <w:jc w:val="center"/>
              <w:rPr>
                <w:rFonts w:ascii="Arial Narrow" w:hAnsi="Arial Narrow" w:cs="Calibri"/>
                <w:b/>
                <w:bCs/>
                <w:color w:val="000000"/>
                <w:sz w:val="20"/>
              </w:rPr>
            </w:pPr>
            <w:r w:rsidRPr="00B077C9">
              <w:rPr>
                <w:rFonts w:ascii="Calibri" w:hAnsi="Calibri" w:cs="Calibri"/>
                <w:b/>
                <w:bCs/>
                <w:color w:val="000000"/>
                <w:sz w:val="20"/>
              </w:rPr>
              <w:t>≥</w:t>
            </w:r>
            <w:r w:rsidRPr="00B077C9">
              <w:rPr>
                <w:rFonts w:ascii="Arial Narrow" w:hAnsi="Arial Narrow" w:cs="Calibri"/>
                <w:b/>
                <w:bCs/>
                <w:color w:val="000000"/>
                <w:sz w:val="20"/>
              </w:rPr>
              <w:t>75</w:t>
            </w:r>
          </w:p>
        </w:tc>
        <w:tc>
          <w:tcPr>
            <w:tcW w:w="610" w:type="dxa"/>
            <w:tcBorders>
              <w:top w:val="nil"/>
              <w:left w:val="nil"/>
              <w:bottom w:val="single" w:sz="4" w:space="0" w:color="auto"/>
              <w:right w:val="single" w:sz="4" w:space="0" w:color="auto"/>
            </w:tcBorders>
            <w:shd w:val="clear" w:color="auto" w:fill="auto"/>
            <w:noWrap/>
            <w:vAlign w:val="bottom"/>
            <w:hideMark/>
          </w:tcPr>
          <w:p w14:paraId="510AA08A" w14:textId="77777777" w:rsidR="00B077C9" w:rsidRPr="00B077C9" w:rsidRDefault="00B077C9" w:rsidP="00B077C9">
            <w:pPr>
              <w:spacing w:after="0"/>
              <w:jc w:val="center"/>
              <w:rPr>
                <w:rFonts w:ascii="Arial Narrow" w:hAnsi="Arial Narrow" w:cs="Calibri"/>
                <w:color w:val="000000"/>
                <w:sz w:val="20"/>
              </w:rPr>
            </w:pPr>
            <w:r w:rsidRPr="00B077C9">
              <w:rPr>
                <w:rFonts w:ascii="Arial Narrow" w:hAnsi="Arial Narrow" w:cs="Calibri"/>
                <w:color w:val="000000"/>
                <w:sz w:val="20"/>
              </w:rPr>
              <w:t>-</w:t>
            </w:r>
          </w:p>
        </w:tc>
        <w:tc>
          <w:tcPr>
            <w:tcW w:w="1607" w:type="dxa"/>
            <w:tcBorders>
              <w:top w:val="nil"/>
              <w:left w:val="nil"/>
              <w:bottom w:val="single" w:sz="4" w:space="0" w:color="auto"/>
              <w:right w:val="single" w:sz="4" w:space="0" w:color="auto"/>
            </w:tcBorders>
            <w:shd w:val="clear" w:color="auto" w:fill="auto"/>
            <w:noWrap/>
            <w:vAlign w:val="bottom"/>
            <w:hideMark/>
          </w:tcPr>
          <w:p w14:paraId="1FBDA2BB" w14:textId="77777777" w:rsidR="00B077C9" w:rsidRPr="00B077C9" w:rsidRDefault="00B077C9" w:rsidP="00B077C9">
            <w:pPr>
              <w:spacing w:after="0"/>
              <w:jc w:val="center"/>
              <w:rPr>
                <w:rFonts w:ascii="Arial Narrow" w:hAnsi="Arial Narrow" w:cs="Calibri"/>
                <w:color w:val="000000"/>
                <w:sz w:val="20"/>
              </w:rPr>
            </w:pPr>
            <w:r w:rsidRPr="00B077C9">
              <w:rPr>
                <w:rFonts w:ascii="Arial Narrow" w:hAnsi="Arial Narrow" w:cs="Calibri"/>
                <w:color w:val="000000"/>
                <w:sz w:val="20"/>
              </w:rPr>
              <w:t>-</w:t>
            </w:r>
          </w:p>
        </w:tc>
        <w:tc>
          <w:tcPr>
            <w:tcW w:w="888" w:type="dxa"/>
            <w:tcBorders>
              <w:top w:val="nil"/>
              <w:left w:val="nil"/>
              <w:bottom w:val="single" w:sz="4" w:space="0" w:color="auto"/>
              <w:right w:val="single" w:sz="4" w:space="0" w:color="auto"/>
            </w:tcBorders>
            <w:shd w:val="clear" w:color="auto" w:fill="auto"/>
            <w:noWrap/>
            <w:vAlign w:val="bottom"/>
            <w:hideMark/>
          </w:tcPr>
          <w:p w14:paraId="4918962E" w14:textId="77777777" w:rsidR="00B077C9" w:rsidRPr="00B077C9" w:rsidRDefault="00B077C9" w:rsidP="00B077C9">
            <w:pPr>
              <w:spacing w:after="0"/>
              <w:jc w:val="center"/>
              <w:rPr>
                <w:rFonts w:ascii="Arial Narrow" w:hAnsi="Arial Narrow" w:cs="Calibri"/>
                <w:color w:val="000000"/>
                <w:sz w:val="20"/>
              </w:rPr>
            </w:pPr>
            <w:r w:rsidRPr="00B077C9">
              <w:rPr>
                <w:rFonts w:ascii="Arial Narrow" w:hAnsi="Arial Narrow" w:cs="Calibri"/>
                <w:color w:val="000000"/>
                <w:sz w:val="20"/>
              </w:rPr>
              <w:t>-</w:t>
            </w:r>
          </w:p>
        </w:tc>
        <w:tc>
          <w:tcPr>
            <w:tcW w:w="1479" w:type="dxa"/>
            <w:tcBorders>
              <w:top w:val="nil"/>
              <w:left w:val="nil"/>
              <w:bottom w:val="single" w:sz="4" w:space="0" w:color="auto"/>
              <w:right w:val="single" w:sz="4" w:space="0" w:color="auto"/>
            </w:tcBorders>
            <w:shd w:val="clear" w:color="000000" w:fill="DCE6F1"/>
            <w:noWrap/>
            <w:vAlign w:val="bottom"/>
            <w:hideMark/>
          </w:tcPr>
          <w:p w14:paraId="4F465008" w14:textId="3140097F" w:rsidR="00B077C9" w:rsidRPr="00B077C9" w:rsidRDefault="00B077C9" w:rsidP="00B077C9">
            <w:pPr>
              <w:spacing w:after="0"/>
              <w:jc w:val="center"/>
              <w:rPr>
                <w:rFonts w:ascii="Arial Narrow" w:hAnsi="Arial Narrow" w:cs="Calibri"/>
                <w:color w:val="000000"/>
                <w:sz w:val="20"/>
              </w:rPr>
            </w:pPr>
            <w:r w:rsidRPr="00B077C9">
              <w:rPr>
                <w:rFonts w:ascii="Arial Narrow" w:hAnsi="Arial Narrow" w:cs="Calibri"/>
                <w:color w:val="000000"/>
                <w:sz w:val="20"/>
              </w:rPr>
              <w:t>MD</w:t>
            </w:r>
            <w:r>
              <w:rPr>
                <w:rFonts w:ascii="Arial Narrow" w:hAnsi="Arial Narrow" w:cs="Calibri"/>
                <w:color w:val="000000"/>
                <w:sz w:val="20"/>
              </w:rPr>
              <w:t>1</w:t>
            </w:r>
            <w:r w:rsidRPr="00B077C9">
              <w:rPr>
                <w:rFonts w:ascii="Arial Narrow" w:hAnsi="Arial Narrow" w:cs="Calibri"/>
                <w:color w:val="000000"/>
                <w:sz w:val="20"/>
              </w:rPr>
              <w:t xml:space="preserve">, </w:t>
            </w:r>
            <w:r w:rsidRPr="00B077C9">
              <w:rPr>
                <w:rFonts w:ascii="Arial Narrow" w:hAnsi="Arial Narrow" w:cs="Calibri"/>
                <w:color w:val="000000" w:themeColor="text1"/>
                <w:sz w:val="20"/>
              </w:rPr>
              <w:t>MD4, MD5</w:t>
            </w:r>
          </w:p>
        </w:tc>
      </w:tr>
    </w:tbl>
    <w:p w14:paraId="659CB853" w14:textId="77777777" w:rsidR="00647E0B" w:rsidRDefault="00647E0B" w:rsidP="00EA6CF5">
      <w:pPr>
        <w:pStyle w:val="BodyText"/>
      </w:pPr>
    </w:p>
    <w:p w14:paraId="101D4581" w14:textId="70698821" w:rsidR="00FA5944" w:rsidRDefault="00B077C9" w:rsidP="00FA5944">
      <w:pPr>
        <w:pStyle w:val="BodyText"/>
      </w:pPr>
      <w:r>
        <w:t>For</w:t>
      </w:r>
      <w:r w:rsidR="001F5C19">
        <w:t xml:space="preserve"> </w:t>
      </w:r>
      <w:r>
        <w:t xml:space="preserve">each MD region, we </w:t>
      </w:r>
      <w:r w:rsidR="00893115">
        <w:t>appl</w:t>
      </w:r>
      <w:r w:rsidR="00EB34A8">
        <w:t>ied</w:t>
      </w:r>
      <w:r w:rsidR="00893115">
        <w:t xml:space="preserve"> a methodology to </w:t>
      </w:r>
      <w:r w:rsidR="001F5C19">
        <w:t xml:space="preserve">select comparison areas with similar characteristics by </w:t>
      </w:r>
      <w:r w:rsidR="00893115">
        <w:t>minimiz</w:t>
      </w:r>
      <w:r w:rsidR="001F5C19">
        <w:t>ing</w:t>
      </w:r>
      <w:r w:rsidR="00893115">
        <w:t xml:space="preserve"> distances between the MD </w:t>
      </w:r>
      <w:r>
        <w:t xml:space="preserve">region </w:t>
      </w:r>
      <w:r w:rsidR="00893115">
        <w:t>and national</w:t>
      </w:r>
      <w:r>
        <w:t xml:space="preserve"> MSAs in the assigned category</w:t>
      </w:r>
      <w:r w:rsidR="00893115">
        <w:t xml:space="preserve"> </w:t>
      </w:r>
      <w:r>
        <w:t xml:space="preserve">across the characteristics shown in </w:t>
      </w:r>
      <w:r w:rsidRPr="00B077C9">
        <w:rPr>
          <w:b/>
          <w:bCs/>
        </w:rPr>
        <w:t>Exhibit 2</w:t>
      </w:r>
      <w:r w:rsidR="00893115">
        <w:t xml:space="preserve">. </w:t>
      </w:r>
      <w:r>
        <w:t>To do so, we calculate</w:t>
      </w:r>
      <w:r w:rsidR="00EB34A8">
        <w:t>d</w:t>
      </w:r>
      <w:r>
        <w:t xml:space="preserve"> a</w:t>
      </w:r>
      <w:r w:rsidR="001F5C19">
        <w:t>n</w:t>
      </w:r>
      <w:r>
        <w:t xml:space="preserve"> Euclidean</w:t>
      </w:r>
      <w:r w:rsidR="004942AC">
        <w:t xml:space="preserve"> </w:t>
      </w:r>
      <w:r>
        <w:t>distance between the MD region and each national MSA in the category. We standardize</w:t>
      </w:r>
      <w:r w:rsidR="00EB34A8">
        <w:t>d</w:t>
      </w:r>
      <w:r>
        <w:t xml:space="preserve"> each characteristic to have a mean of zero and </w:t>
      </w:r>
      <w:r>
        <w:lastRenderedPageBreak/>
        <w:t>standard deviation of one so that differences in scales d</w:t>
      </w:r>
      <w:r w:rsidR="00EB34A8">
        <w:t>id</w:t>
      </w:r>
      <w:r>
        <w:t xml:space="preserve"> not influence the resulting distance scores. </w:t>
      </w:r>
      <w:r w:rsidR="00FA5944">
        <w:t xml:space="preserve">Thus, the Euclidean distance </w:t>
      </w:r>
      <w:r w:rsidR="00EB34A8">
        <w:t>wa</w:t>
      </w:r>
      <w:r w:rsidR="00FA5944">
        <w:t xml:space="preserve">s based on their standard deviations rather than a mixture of units. The distance between each MD region and national MSA was calculated by adding together the standardized differences </w:t>
      </w:r>
      <w:r w:rsidR="004942AC">
        <w:t>of each of the characteristics</w:t>
      </w:r>
      <w:r w:rsidR="007F75D6">
        <w:t xml:space="preserve">. </w:t>
      </w:r>
      <w:r w:rsidR="00340904">
        <w:t xml:space="preserve">The formula used </w:t>
      </w:r>
      <w:r w:rsidR="00EB34A8">
        <w:t>wa</w:t>
      </w:r>
      <w:r w:rsidR="00340904">
        <w:t>s:</w:t>
      </w:r>
    </w:p>
    <w:p w14:paraId="6CD9450C" w14:textId="52FF0646" w:rsidR="004942AC" w:rsidRDefault="00756D0D" w:rsidP="00FA5944">
      <w:pPr>
        <w:pStyle w:val="BodyText"/>
      </w:pPr>
      <m:oMathPara>
        <m:oMath>
          <m:sSub>
            <m:sSubPr>
              <m:ctrlPr>
                <w:rPr>
                  <w:rFonts w:ascii="Cambria Math" w:hAnsi="Cambria Math"/>
                  <w:i/>
                </w:rPr>
              </m:ctrlPr>
            </m:sSubPr>
            <m:e>
              <m:r>
                <w:rPr>
                  <w:rFonts w:ascii="Cambria Math" w:hAnsi="Cambria Math"/>
                </w:rPr>
                <m:t>D</m:t>
              </m:r>
            </m:e>
            <m:sub>
              <m:r>
                <w:rPr>
                  <w:rFonts w:ascii="Cambria Math" w:hAnsi="Cambria Math"/>
                </w:rPr>
                <m:t>Nat,MD</m:t>
              </m:r>
            </m:sub>
          </m:sSub>
          <m:r>
            <w:rPr>
              <w:rFonts w:ascii="Cambria Math" w:hAnsi="Cambria Math"/>
            </w:rPr>
            <m:t>=</m:t>
          </m:r>
          <m:rad>
            <m:radPr>
              <m:degHide m:val="1"/>
              <m:ctrlPr>
                <w:rPr>
                  <w:rFonts w:ascii="Cambria Math" w:hAnsi="Cambria Math"/>
                  <w:i/>
                </w:rPr>
              </m:ctrlPr>
            </m:radPr>
            <m:deg/>
            <m:e>
              <m:nary>
                <m:naryPr>
                  <m:chr m:val="∑"/>
                  <m:grow m:val="1"/>
                  <m:ctrlPr>
                    <w:rPr>
                      <w:rFonts w:ascii="Cambria Math" w:hAnsi="Cambria Math"/>
                    </w:rPr>
                  </m:ctrlPr>
                </m:naryPr>
                <m:sub>
                  <m:r>
                    <w:rPr>
                      <w:rFonts w:ascii="Cambria Math" w:hAnsi="Cambria Math"/>
                    </w:rPr>
                    <m:t>k=1</m:t>
                  </m:r>
                </m:sub>
                <m:sup>
                  <m:r>
                    <w:rPr>
                      <w:rFonts w:ascii="Cambria Math" w:hAnsi="Cambria Math"/>
                    </w:rPr>
                    <m:t>K</m:t>
                  </m:r>
                </m:sup>
                <m:e>
                  <m:f>
                    <m:fPr>
                      <m:ctrlPr>
                        <w:rPr>
                          <w:rFonts w:ascii="Cambria Math" w:hAnsi="Cambria Math"/>
                        </w:rPr>
                      </m:ctrlPr>
                    </m:fPr>
                    <m:num>
                      <m:sSup>
                        <m:sSupPr>
                          <m:ctrlPr>
                            <w:rPr>
                              <w:rFonts w:ascii="Cambria Math" w:hAnsi="Cambria Math"/>
                              <w:i/>
                            </w:rPr>
                          </m:ctrlPr>
                        </m:sSupPr>
                        <m:e>
                          <m:sSub>
                            <m:sSubPr>
                              <m:ctrlPr>
                                <w:rPr>
                                  <w:rFonts w:ascii="Cambria Math" w:hAnsi="Cambria Math"/>
                                </w:rPr>
                              </m:ctrlPr>
                            </m:sSubPr>
                            <m:e>
                              <m:r>
                                <w:rPr>
                                  <w:rFonts w:ascii="Cambria Math" w:eastAsia="Cambria Math" w:hAnsi="Cambria Math" w:cs="Cambria Math"/>
                                </w:rPr>
                                <m:t>(X</m:t>
                              </m:r>
                            </m:e>
                            <m:sub>
                              <m:r>
                                <w:rPr>
                                  <w:rFonts w:ascii="Cambria Math" w:eastAsia="Cambria Math" w:hAnsi="Cambria Math" w:cs="Cambria Math"/>
                                </w:rPr>
                                <m:t>Nat,k</m:t>
                              </m:r>
                            </m:sub>
                          </m:sSub>
                          <m:r>
                            <w:rPr>
                              <w:rFonts w:ascii="Cambria Math" w:hAnsi="Cambria Math"/>
                            </w:rPr>
                            <m:t>-</m:t>
                          </m:r>
                          <m:sSub>
                            <m:sSubPr>
                              <m:ctrlPr>
                                <w:rPr>
                                  <w:rFonts w:ascii="Cambria Math" w:hAnsi="Cambria Math"/>
                                </w:rPr>
                              </m:ctrlPr>
                            </m:sSubPr>
                            <m:e>
                              <m:r>
                                <w:rPr>
                                  <w:rFonts w:ascii="Cambria Math" w:eastAsia="Cambria Math" w:hAnsi="Cambria Math" w:cs="Cambria Math"/>
                                </w:rPr>
                                <m:t>X</m:t>
                              </m:r>
                            </m:e>
                            <m:sub>
                              <m:r>
                                <w:rPr>
                                  <w:rFonts w:ascii="Cambria Math" w:eastAsia="Cambria Math" w:hAnsi="Cambria Math" w:cs="Cambria Math"/>
                                </w:rPr>
                                <m:t>MD,k</m:t>
                              </m:r>
                            </m:sub>
                          </m:sSub>
                          <m:r>
                            <w:rPr>
                              <w:rFonts w:ascii="Cambria Math" w:hAnsi="Cambria Math"/>
                            </w:rPr>
                            <m:t>)</m:t>
                          </m:r>
                        </m:e>
                        <m:sup>
                          <m:r>
                            <w:rPr>
                              <w:rFonts w:ascii="Cambria Math" w:hAnsi="Cambria Math"/>
                            </w:rPr>
                            <m:t>2</m:t>
                          </m:r>
                        </m:sup>
                      </m:sSup>
                    </m:num>
                    <m:den>
                      <m:sSubSup>
                        <m:sSubSupPr>
                          <m:ctrlPr>
                            <w:rPr>
                              <w:rFonts w:ascii="Cambria Math" w:hAnsi="Cambria Math"/>
                              <w:i/>
                            </w:rPr>
                          </m:ctrlPr>
                        </m:sSubSupPr>
                        <m:e>
                          <m:r>
                            <w:rPr>
                              <w:rFonts w:ascii="Cambria Math" w:hAnsi="Cambria Math"/>
                            </w:rPr>
                            <m:t>σ</m:t>
                          </m:r>
                        </m:e>
                        <m:sub>
                          <m:r>
                            <w:rPr>
                              <w:rFonts w:ascii="Cambria Math" w:hAnsi="Cambria Math"/>
                            </w:rPr>
                            <m:t>k</m:t>
                          </m:r>
                        </m:sub>
                        <m:sup>
                          <m:r>
                            <w:rPr>
                              <w:rFonts w:ascii="Cambria Math" w:hAnsi="Cambria Math"/>
                            </w:rPr>
                            <m:t>2</m:t>
                          </m:r>
                        </m:sup>
                      </m:sSubSup>
                    </m:den>
                  </m:f>
                </m:e>
              </m:nary>
            </m:e>
          </m:rad>
        </m:oMath>
      </m:oMathPara>
    </w:p>
    <w:p w14:paraId="23A465D5" w14:textId="2E6FA160" w:rsidR="00340904" w:rsidRDefault="00340904" w:rsidP="00FA5944">
      <w:pPr>
        <w:pStyle w:val="BodyText"/>
      </w:pPr>
      <w:r>
        <w:t xml:space="preserve">Where K is the total number of characteristics; </w:t>
      </w:r>
      <w:r>
        <w:rPr>
          <w:i/>
          <w:iCs/>
        </w:rPr>
        <w:t>X</w:t>
      </w:r>
      <w:r w:rsidRPr="00340904">
        <w:rPr>
          <w:i/>
          <w:iCs/>
          <w:vertAlign w:val="subscript"/>
        </w:rPr>
        <w:t>Nat,k</w:t>
      </w:r>
      <w:r>
        <w:rPr>
          <w:i/>
          <w:iCs/>
        </w:rPr>
        <w:t xml:space="preserve"> </w:t>
      </w:r>
      <w:r>
        <w:t>is the k</w:t>
      </w:r>
      <w:r w:rsidRPr="00340904">
        <w:rPr>
          <w:vertAlign w:val="superscript"/>
        </w:rPr>
        <w:t>th</w:t>
      </w:r>
      <w:r>
        <w:t xml:space="preserve"> characteristics for the national MSA in</w:t>
      </w:r>
      <w:r w:rsidR="00E1710A">
        <w:t xml:space="preserve"> </w:t>
      </w:r>
      <w:r>
        <w:t xml:space="preserve">the category and </w:t>
      </w:r>
      <w:r w:rsidRPr="00340904">
        <w:rPr>
          <w:i/>
          <w:iCs/>
        </w:rPr>
        <w:t>X</w:t>
      </w:r>
      <w:r w:rsidRPr="00340904">
        <w:rPr>
          <w:i/>
          <w:iCs/>
          <w:vertAlign w:val="subscript"/>
        </w:rPr>
        <w:t>MD,k</w:t>
      </w:r>
      <w:r>
        <w:t xml:space="preserve"> is the k</w:t>
      </w:r>
      <w:r w:rsidRPr="00340904">
        <w:rPr>
          <w:vertAlign w:val="superscript"/>
        </w:rPr>
        <w:t>th</w:t>
      </w:r>
      <w:r>
        <w:t xml:space="preserve"> characteristic for the MD region</w:t>
      </w:r>
      <w:r w:rsidR="00AA6BEF">
        <w:t xml:space="preserve">. </w:t>
      </w:r>
      <m:oMath>
        <m:sSub>
          <m:sSubPr>
            <m:ctrlPr>
              <w:rPr>
                <w:rFonts w:ascii="Cambria Math" w:hAnsi="Cambria Math"/>
              </w:rPr>
            </m:ctrlPr>
          </m:sSubPr>
          <m:e>
            <m:r>
              <w:rPr>
                <w:rFonts w:ascii="Cambria Math" w:hAnsi="Cambria Math"/>
              </w:rPr>
              <m:t>σ</m:t>
            </m:r>
          </m:e>
          <m:sub>
            <m:r>
              <w:rPr>
                <w:rFonts w:ascii="Cambria Math" w:hAnsi="Cambria Math"/>
              </w:rPr>
              <m:t>k</m:t>
            </m:r>
          </m:sub>
        </m:sSub>
      </m:oMath>
      <w:r>
        <w:t xml:space="preserve"> represents the </w:t>
      </w:r>
      <w:r w:rsidR="00AA6BEF">
        <w:t>standard deviation</w:t>
      </w:r>
      <w:r>
        <w:t xml:space="preserve"> of the k</w:t>
      </w:r>
      <w:r w:rsidRPr="00340904">
        <w:rPr>
          <w:vertAlign w:val="superscript"/>
        </w:rPr>
        <w:t>th</w:t>
      </w:r>
      <w:r>
        <w:t xml:space="preserve"> characteristic. </w:t>
      </w:r>
    </w:p>
    <w:p w14:paraId="7F3EE82C" w14:textId="0770269C" w:rsidR="00FA5944" w:rsidRDefault="00AA6BEF" w:rsidP="00FA5944">
      <w:pPr>
        <w:pStyle w:val="BodyText"/>
      </w:pPr>
      <w:r>
        <w:t>National MSAs with smaller distance</w:t>
      </w:r>
      <w:r w:rsidR="008C0A78">
        <w:t>s</w:t>
      </w:r>
      <w:r>
        <w:t xml:space="preserve"> </w:t>
      </w:r>
      <w:r w:rsidR="00F2557B">
        <w:t>were</w:t>
      </w:r>
      <w:r>
        <w:t xml:space="preserve"> more similar to the MD region based on the characteristics used. </w:t>
      </w:r>
      <w:r w:rsidR="00FA5944" w:rsidRPr="00FA5944">
        <w:t>For each MD region, we selected the top 20 national MSAs in terms of the lowest calculated distance.</w:t>
      </w:r>
      <w:r w:rsidR="002D1EA9">
        <w:t xml:space="preserve"> The same MSA could be (and was) selected as a benchmark for more than one region. Overall, there were 56 unique MSAs selected.</w:t>
      </w:r>
      <w:r w:rsidR="00FA5944" w:rsidRPr="00FA5944">
        <w:t xml:space="preserve"> The list of selected </w:t>
      </w:r>
      <w:r w:rsidR="004942AC">
        <w:t xml:space="preserve">benchmark </w:t>
      </w:r>
      <w:r w:rsidR="00FA5944" w:rsidRPr="00FA5944">
        <w:t>MSAs</w:t>
      </w:r>
      <w:r w:rsidR="004942AC">
        <w:t xml:space="preserve"> for each MD region is shown in tab “</w:t>
      </w:r>
      <w:r w:rsidR="00F2557B" w:rsidRPr="00F2557B">
        <w:rPr>
          <w:b/>
          <w:bCs/>
        </w:rPr>
        <w:t xml:space="preserve">6 </w:t>
      </w:r>
      <w:r w:rsidR="00F2557B" w:rsidRPr="000A0EC5">
        <w:rPr>
          <w:b/>
          <w:bCs/>
        </w:rPr>
        <w:t>Benchmark MSA descriptives</w:t>
      </w:r>
      <w:r w:rsidR="004942AC">
        <w:t xml:space="preserve">” in the attached Excel Workbook. </w:t>
      </w:r>
    </w:p>
    <w:p w14:paraId="7DB8ADB4" w14:textId="541609BD" w:rsidR="00897C95" w:rsidRDefault="00F102AB" w:rsidP="00F102AB">
      <w:pPr>
        <w:pStyle w:val="Heading2"/>
      </w:pPr>
      <w:bookmarkStart w:id="8" w:name="_Toc35363778"/>
      <w:r>
        <w:t>Compute Metrics</w:t>
      </w:r>
      <w:bookmarkEnd w:id="8"/>
    </w:p>
    <w:p w14:paraId="12062528" w14:textId="30B8CFE2" w:rsidR="009F54FC" w:rsidRPr="00F77B3E" w:rsidRDefault="009F54FC" w:rsidP="00F77B3E">
      <w:pPr>
        <w:pStyle w:val="BodyText"/>
      </w:pPr>
      <w:r w:rsidRPr="009F54FC">
        <w:rPr>
          <w:szCs w:val="22"/>
        </w:rPr>
        <w:t xml:space="preserve">For the purposes of this analysis, cost refers to the allowed cost including primary insurer payments, member payments, and payments from secondary sources of coverage. </w:t>
      </w:r>
      <w:r w:rsidR="00F77B3E" w:rsidRPr="00F77B3E">
        <w:rPr>
          <w:lang w:val="en-US"/>
        </w:rPr>
        <w:t>The reported allowed amounts reflect CY 201</w:t>
      </w:r>
      <w:r w:rsidR="00850819">
        <w:rPr>
          <w:lang w:val="en-US"/>
        </w:rPr>
        <w:t>8</w:t>
      </w:r>
      <w:r w:rsidR="00F77B3E" w:rsidRPr="00F77B3E">
        <w:rPr>
          <w:lang w:val="en-US"/>
        </w:rPr>
        <w:t xml:space="preserve"> dates of service and </w:t>
      </w:r>
      <w:r w:rsidR="00EB34A8">
        <w:rPr>
          <w:lang w:val="en-US"/>
        </w:rPr>
        <w:t>were</w:t>
      </w:r>
      <w:r w:rsidR="00F77B3E" w:rsidRPr="00F77B3E">
        <w:rPr>
          <w:lang w:val="en-US"/>
        </w:rPr>
        <w:t xml:space="preserve"> adjusted for the estimated incurred but not reported</w:t>
      </w:r>
      <w:r w:rsidR="00DD5D6D">
        <w:rPr>
          <w:lang w:val="en-US"/>
        </w:rPr>
        <w:t xml:space="preserve"> (IBNR)</w:t>
      </w:r>
      <w:r w:rsidR="00F77B3E" w:rsidRPr="00F77B3E">
        <w:rPr>
          <w:lang w:val="en-US"/>
        </w:rPr>
        <w:t xml:space="preserve"> claim costs, based on the claim</w:t>
      </w:r>
      <w:r w:rsidR="00DD5D6D">
        <w:rPr>
          <w:lang w:val="en-US"/>
        </w:rPr>
        <w:t>s</w:t>
      </w:r>
      <w:r w:rsidR="00F77B3E" w:rsidRPr="00F77B3E">
        <w:rPr>
          <w:lang w:val="en-US"/>
        </w:rPr>
        <w:t xml:space="preserve"> completion patterns in the data.</w:t>
      </w:r>
      <w:r w:rsidR="00F77B3E">
        <w:t xml:space="preserve"> </w:t>
      </w:r>
      <w:r w:rsidRPr="009F54FC">
        <w:rPr>
          <w:szCs w:val="22"/>
        </w:rPr>
        <w:t>Service category was assigned using the Milliman HCG Grouper software. The HCG Grouper assign</w:t>
      </w:r>
      <w:r w:rsidR="0081257E">
        <w:rPr>
          <w:szCs w:val="22"/>
        </w:rPr>
        <w:t>ed</w:t>
      </w:r>
      <w:r w:rsidRPr="009F54FC">
        <w:rPr>
          <w:szCs w:val="22"/>
        </w:rPr>
        <w:t xml:space="preserve"> each claim service line to a Health Cost Guidelines (HCG) service cost category based on the medical coding on the claim. In general, the following claim elements </w:t>
      </w:r>
      <w:r w:rsidR="0081257E">
        <w:rPr>
          <w:szCs w:val="22"/>
        </w:rPr>
        <w:t>were</w:t>
      </w:r>
      <w:r w:rsidRPr="009F54FC">
        <w:rPr>
          <w:szCs w:val="22"/>
        </w:rPr>
        <w:t xml:space="preserve"> used to assign service category:</w:t>
      </w:r>
    </w:p>
    <w:p w14:paraId="10CC20D6" w14:textId="7E806844" w:rsidR="009F54FC" w:rsidRPr="009F54FC" w:rsidRDefault="009F54FC" w:rsidP="009F54FC">
      <w:pPr>
        <w:spacing w:after="120"/>
        <w:ind w:left="360"/>
      </w:pPr>
      <w:r w:rsidRPr="009F54FC">
        <w:rPr>
          <w:b/>
        </w:rPr>
        <w:t>Inpatient:</w:t>
      </w:r>
      <w:r w:rsidRPr="009F54FC">
        <w:t xml:space="preserve"> Inpatient claims </w:t>
      </w:r>
      <w:r w:rsidR="0081257E">
        <w:t>were</w:t>
      </w:r>
      <w:r w:rsidRPr="009F54FC">
        <w:t xml:space="preserve"> identified based on the presence of room and board revenue codes and are categorized based on the diagnosis related group (DRG) assigned to the claim.</w:t>
      </w:r>
    </w:p>
    <w:p w14:paraId="02147927" w14:textId="31BA334E" w:rsidR="009F54FC" w:rsidRPr="009F54FC" w:rsidRDefault="009F54FC" w:rsidP="009F54FC">
      <w:pPr>
        <w:spacing w:after="120"/>
        <w:ind w:left="360"/>
      </w:pPr>
      <w:r w:rsidRPr="009F54FC">
        <w:rPr>
          <w:b/>
        </w:rPr>
        <w:t>Outpatient:</w:t>
      </w:r>
      <w:r w:rsidRPr="009F54FC">
        <w:t xml:space="preserve"> Outpatient claims </w:t>
      </w:r>
      <w:r w:rsidR="0081257E">
        <w:t>were</w:t>
      </w:r>
      <w:r w:rsidRPr="009F54FC">
        <w:t xml:space="preserve"> identified based on the presence of revenue codes on the claim or based on the provider type (e.g. ambulatory surgical center). Outpatient claims </w:t>
      </w:r>
      <w:r w:rsidR="0081257E">
        <w:t>were</w:t>
      </w:r>
      <w:r w:rsidRPr="009F54FC">
        <w:t xml:space="preserve"> categorized primarily based on the revenue codes and Healthcare Common Procedure Coding System (HCPCS) or Common Procedure Terminology (CPT) codes on the claim.</w:t>
      </w:r>
    </w:p>
    <w:p w14:paraId="388464C3" w14:textId="018517A0" w:rsidR="009F54FC" w:rsidRPr="00217D61" w:rsidRDefault="009F54FC" w:rsidP="00217D61">
      <w:pPr>
        <w:ind w:left="360"/>
      </w:pPr>
      <w:r w:rsidRPr="009F54FC">
        <w:rPr>
          <w:b/>
        </w:rPr>
        <w:t>Professional/Other:</w:t>
      </w:r>
      <w:r w:rsidRPr="009F54FC">
        <w:t xml:space="preserve"> Professional/other claims </w:t>
      </w:r>
      <w:r w:rsidR="0081257E">
        <w:t>were</w:t>
      </w:r>
      <w:r w:rsidRPr="009F54FC">
        <w:t xml:space="preserve"> identified based on the lack of revenue codes or based on the provider type. Physician revenue code line items billed as part of a facility claim </w:t>
      </w:r>
      <w:r w:rsidR="0081257E">
        <w:t>were</w:t>
      </w:r>
      <w:r w:rsidRPr="009F54FC">
        <w:t xml:space="preserve"> categorized as professional/other. Professional/other claims </w:t>
      </w:r>
      <w:r w:rsidR="0081257E">
        <w:t>were</w:t>
      </w:r>
      <w:r w:rsidRPr="009F54FC">
        <w:t xml:space="preserve"> categorized primarily based on the HCPCS/CPT, place of service, and provider type (e.g. home health provider) information.</w:t>
      </w:r>
    </w:p>
    <w:p w14:paraId="41554B65" w14:textId="616AE3A9" w:rsidR="009F54FC" w:rsidRPr="009F54FC" w:rsidRDefault="009F54FC" w:rsidP="009F54FC">
      <w:pPr>
        <w:spacing w:after="120"/>
        <w:rPr>
          <w:szCs w:val="22"/>
        </w:rPr>
      </w:pPr>
      <w:r w:rsidRPr="009F54FC">
        <w:rPr>
          <w:szCs w:val="22"/>
        </w:rPr>
        <w:t>The HCG Grouper categorization is continuously updated by Milliman and reflects the most current medical code sets.</w:t>
      </w:r>
      <w:r>
        <w:rPr>
          <w:szCs w:val="22"/>
        </w:rPr>
        <w:t xml:space="preserve"> </w:t>
      </w:r>
      <w:r w:rsidRPr="009F54FC">
        <w:rPr>
          <w:szCs w:val="22"/>
        </w:rPr>
        <w:t>The HCG Grouper assign</w:t>
      </w:r>
      <w:r w:rsidR="0081257E">
        <w:rPr>
          <w:szCs w:val="22"/>
        </w:rPr>
        <w:t>ed</w:t>
      </w:r>
      <w:r w:rsidRPr="009F54FC">
        <w:rPr>
          <w:szCs w:val="22"/>
        </w:rPr>
        <w:t xml:space="preserve"> the following traditional utilization metrics:</w:t>
      </w:r>
    </w:p>
    <w:p w14:paraId="003A4221" w14:textId="753BFE92" w:rsidR="009F54FC" w:rsidRPr="009F54FC" w:rsidRDefault="009F54FC" w:rsidP="009F54FC">
      <w:pPr>
        <w:spacing w:after="120"/>
        <w:ind w:left="360"/>
      </w:pPr>
      <w:r w:rsidRPr="009F54FC">
        <w:rPr>
          <w:b/>
          <w:bCs/>
        </w:rPr>
        <w:t>Admissions:</w:t>
      </w:r>
      <w:r w:rsidRPr="009F54FC">
        <w:t xml:space="preserve"> Count of unique admissions for a single patient at the same facility. Interim bills and same day readmissions </w:t>
      </w:r>
      <w:r w:rsidR="0081257E">
        <w:t>were</w:t>
      </w:r>
      <w:r w:rsidRPr="009F54FC">
        <w:t xml:space="preserve"> combined into a single admission.</w:t>
      </w:r>
    </w:p>
    <w:p w14:paraId="560796B2" w14:textId="183A9588" w:rsidR="009F54FC" w:rsidRPr="009F54FC" w:rsidRDefault="009F54FC" w:rsidP="009F54FC">
      <w:pPr>
        <w:spacing w:after="120"/>
        <w:ind w:left="360"/>
      </w:pPr>
      <w:r w:rsidRPr="009F54FC">
        <w:rPr>
          <w:b/>
          <w:bCs/>
        </w:rPr>
        <w:t>Days:</w:t>
      </w:r>
      <w:r w:rsidRPr="009F54FC">
        <w:t xml:space="preserve"> Count of unique days of confinement for a single patient at a facility. Days </w:t>
      </w:r>
      <w:r w:rsidR="0081257E">
        <w:t>were</w:t>
      </w:r>
      <w:r w:rsidRPr="009F54FC">
        <w:t xml:space="preserve"> calculated based on the admission and discharge dates reported on the claim.</w:t>
      </w:r>
    </w:p>
    <w:p w14:paraId="7C2D1908" w14:textId="77777777" w:rsidR="009F54FC" w:rsidRPr="009F54FC" w:rsidRDefault="009F54FC" w:rsidP="009F54FC">
      <w:pPr>
        <w:spacing w:after="120"/>
        <w:ind w:left="360"/>
      </w:pPr>
      <w:r w:rsidRPr="009F54FC">
        <w:rPr>
          <w:b/>
          <w:bCs/>
        </w:rPr>
        <w:t>Visits:</w:t>
      </w:r>
      <w:r w:rsidRPr="009F54FC">
        <w:t xml:space="preserve"> Count of unique visits for a single patient with a single provider on a unique date of service.</w:t>
      </w:r>
    </w:p>
    <w:p w14:paraId="54C95662" w14:textId="391840F4" w:rsidR="00723866" w:rsidRDefault="009F54FC" w:rsidP="00217D61">
      <w:pPr>
        <w:ind w:left="360"/>
      </w:pPr>
      <w:r w:rsidRPr="009F54FC">
        <w:rPr>
          <w:b/>
          <w:bCs/>
        </w:rPr>
        <w:t>Procedures:</w:t>
      </w:r>
      <w:r w:rsidRPr="009F54FC">
        <w:t xml:space="preserve"> Count of unique service lines for a single patient.</w:t>
      </w:r>
    </w:p>
    <w:p w14:paraId="7280987E" w14:textId="77777777" w:rsidR="003B0825" w:rsidRDefault="003B0825" w:rsidP="00217D61">
      <w:pPr>
        <w:ind w:left="360"/>
      </w:pPr>
    </w:p>
    <w:p w14:paraId="1A0593BC" w14:textId="1D91A7E7" w:rsidR="00217D61" w:rsidRDefault="00217D61" w:rsidP="00217D61">
      <w:pPr>
        <w:spacing w:after="0"/>
        <w:rPr>
          <w:b/>
          <w:bCs/>
          <w:color w:val="C00000"/>
          <w:szCs w:val="22"/>
        </w:rPr>
      </w:pPr>
      <w:r w:rsidRPr="00217D61">
        <w:rPr>
          <w:b/>
          <w:bCs/>
          <w:color w:val="C00000"/>
          <w:szCs w:val="22"/>
        </w:rPr>
        <w:lastRenderedPageBreak/>
        <w:t>GlobalRVUs</w:t>
      </w:r>
    </w:p>
    <w:p w14:paraId="442EEB86" w14:textId="3D0BE792" w:rsidR="00217D61" w:rsidRDefault="00723866" w:rsidP="00217D61">
      <w:pPr>
        <w:rPr>
          <w:b/>
          <w:bCs/>
          <w:color w:val="C00000"/>
          <w:szCs w:val="22"/>
        </w:rPr>
      </w:pPr>
      <w:r w:rsidRPr="00723866">
        <w:rPr>
          <w:szCs w:val="22"/>
        </w:rPr>
        <w:t xml:space="preserve">Case mix was measured using the MedInsight® GlobalRVUs and Milliman RBRVS for Hospitals™ to assign Relative Value Units (RVUs) to inpatient, outpatient, and professional/ancillary services. </w:t>
      </w:r>
      <w:r w:rsidR="00CF63EB">
        <w:rPr>
          <w:szCs w:val="22"/>
        </w:rPr>
        <w:t xml:space="preserve">Refer to </w:t>
      </w:r>
      <w:r w:rsidR="001F3D44">
        <w:t>“</w:t>
      </w:r>
      <w:r w:rsidR="001F3D44" w:rsidRPr="001F3D44">
        <w:t>CY 201</w:t>
      </w:r>
      <w:r w:rsidR="00CC006F">
        <w:t>8</w:t>
      </w:r>
      <w:r w:rsidR="001F3D44" w:rsidRPr="001F3D44">
        <w:t xml:space="preserve"> Milliman Benchmark</w:t>
      </w:r>
      <w:r w:rsidR="001F3D44">
        <w:t xml:space="preserve"> </w:t>
      </w:r>
      <w:r w:rsidR="001F3D44" w:rsidRPr="001F3D44">
        <w:t>and Maryland All-Payer Claims</w:t>
      </w:r>
      <w:r w:rsidR="001F3D44">
        <w:t xml:space="preserve"> </w:t>
      </w:r>
      <w:r w:rsidR="001F3D44" w:rsidRPr="001F3D44">
        <w:t>Database Cost and Utilization</w:t>
      </w:r>
      <w:r w:rsidR="001F3D44">
        <w:t xml:space="preserve"> </w:t>
      </w:r>
      <w:r w:rsidR="001F3D44" w:rsidRPr="001F3D44">
        <w:t>Exhibits</w:t>
      </w:r>
      <w:r w:rsidR="001F3D44">
        <w:t xml:space="preserve"> Report,”</w:t>
      </w:r>
      <w:r w:rsidR="00D20E2C">
        <w:rPr>
          <w:rStyle w:val="FootnoteReference"/>
        </w:rPr>
        <w:footnoteReference w:id="1"/>
      </w:r>
      <w:r w:rsidR="001F3D44">
        <w:t xml:space="preserve"> Attachment E </w:t>
      </w:r>
      <w:r w:rsidR="00CF63EB">
        <w:rPr>
          <w:szCs w:val="22"/>
        </w:rPr>
        <w:t xml:space="preserve">for more information on GlobalRVUs. </w:t>
      </w:r>
      <w:r w:rsidRPr="00723866">
        <w:rPr>
          <w:szCs w:val="22"/>
        </w:rPr>
        <w:t>RVUs represent the relative amount of work required for each service. Dividing allowed charges by RVUs yield</w:t>
      </w:r>
      <w:r w:rsidR="0081257E">
        <w:rPr>
          <w:szCs w:val="22"/>
        </w:rPr>
        <w:t>ed</w:t>
      </w:r>
      <w:r w:rsidRPr="00723866">
        <w:rPr>
          <w:szCs w:val="22"/>
        </w:rPr>
        <w:t xml:space="preserve"> a conversion factor that measure</w:t>
      </w:r>
      <w:r w:rsidR="0081257E">
        <w:rPr>
          <w:szCs w:val="22"/>
        </w:rPr>
        <w:t>d</w:t>
      </w:r>
      <w:r w:rsidRPr="00723866">
        <w:rPr>
          <w:szCs w:val="22"/>
        </w:rPr>
        <w:t xml:space="preserve"> the relative case mix and severity adjusted reimbursement. An area with a higher conversion factor ha</w:t>
      </w:r>
      <w:r w:rsidR="0081257E">
        <w:rPr>
          <w:szCs w:val="22"/>
        </w:rPr>
        <w:t>d</w:t>
      </w:r>
      <w:r w:rsidRPr="00723866">
        <w:rPr>
          <w:szCs w:val="22"/>
        </w:rPr>
        <w:t xml:space="preserve"> higher reimbursement per unit of work than an area with a lower conversion factor.</w:t>
      </w:r>
      <w:r w:rsidR="00217D61">
        <w:rPr>
          <w:b/>
          <w:bCs/>
          <w:color w:val="C00000"/>
          <w:szCs w:val="22"/>
        </w:rPr>
        <w:t xml:space="preserve"> </w:t>
      </w:r>
    </w:p>
    <w:p w14:paraId="04EEC8BF" w14:textId="1520A92E" w:rsidR="00723866" w:rsidRPr="00217D61" w:rsidRDefault="00723866" w:rsidP="00217D61">
      <w:pPr>
        <w:rPr>
          <w:b/>
          <w:bCs/>
          <w:color w:val="C00000"/>
          <w:szCs w:val="22"/>
        </w:rPr>
      </w:pPr>
      <w:r w:rsidRPr="00723866">
        <w:rPr>
          <w:szCs w:val="22"/>
        </w:rPr>
        <w:t xml:space="preserve">The inpatient RVUs </w:t>
      </w:r>
      <w:r w:rsidR="0081257E">
        <w:rPr>
          <w:szCs w:val="22"/>
        </w:rPr>
        <w:t>were</w:t>
      </w:r>
      <w:r w:rsidRPr="00723866">
        <w:rPr>
          <w:szCs w:val="22"/>
        </w:rPr>
        <w:t xml:space="preserve"> assigned based on the All-Patient Refined (APR) Diagnosis-Related Group (DRG) and length of stay of each admission. The outpatient RVUs </w:t>
      </w:r>
      <w:r w:rsidR="0081257E">
        <w:rPr>
          <w:szCs w:val="22"/>
        </w:rPr>
        <w:t>were</w:t>
      </w:r>
      <w:r w:rsidRPr="00723866">
        <w:rPr>
          <w:szCs w:val="22"/>
        </w:rPr>
        <w:t xml:space="preserve"> assigned based on the HCPCS/CPT, modifier and unit coding for each service line.  The professional RVUs </w:t>
      </w:r>
      <w:r w:rsidR="0081257E">
        <w:rPr>
          <w:szCs w:val="22"/>
        </w:rPr>
        <w:t>were</w:t>
      </w:r>
      <w:r w:rsidRPr="00723866">
        <w:rPr>
          <w:szCs w:val="22"/>
        </w:rPr>
        <w:t xml:space="preserve"> assigned based on the HCPCS/CPT, modifier, unit coding, and place of service for each service line.</w:t>
      </w:r>
    </w:p>
    <w:p w14:paraId="4CBD0C64" w14:textId="35F28DB3" w:rsidR="00723866" w:rsidRPr="00217D61" w:rsidRDefault="00723866" w:rsidP="00723866">
      <w:pPr>
        <w:rPr>
          <w:szCs w:val="22"/>
        </w:rPr>
      </w:pPr>
      <w:r w:rsidRPr="00723866">
        <w:rPr>
          <w:szCs w:val="22"/>
        </w:rPr>
        <w:t xml:space="preserve">Because </w:t>
      </w:r>
      <w:r w:rsidR="0081257E">
        <w:rPr>
          <w:szCs w:val="22"/>
        </w:rPr>
        <w:t xml:space="preserve">the </w:t>
      </w:r>
      <w:r w:rsidRPr="00723866">
        <w:rPr>
          <w:szCs w:val="22"/>
        </w:rPr>
        <w:t>CHSD is comp</w:t>
      </w:r>
      <w:r w:rsidR="00A77BD3">
        <w:rPr>
          <w:szCs w:val="22"/>
        </w:rPr>
        <w:t>o</w:t>
      </w:r>
      <w:r w:rsidRPr="00723866">
        <w:rPr>
          <w:szCs w:val="22"/>
        </w:rPr>
        <w:t>sed of multiple contributors, we review</w:t>
      </w:r>
      <w:r w:rsidR="0081257E">
        <w:rPr>
          <w:szCs w:val="22"/>
        </w:rPr>
        <w:t xml:space="preserve">ed </w:t>
      </w:r>
      <w:r w:rsidRPr="00723866">
        <w:rPr>
          <w:szCs w:val="22"/>
        </w:rPr>
        <w:t xml:space="preserve">the data quality for each contributor. Some contributors </w:t>
      </w:r>
      <w:r w:rsidR="0081257E">
        <w:rPr>
          <w:szCs w:val="22"/>
        </w:rPr>
        <w:t xml:space="preserve">were </w:t>
      </w:r>
      <w:r w:rsidRPr="00723866">
        <w:rPr>
          <w:szCs w:val="22"/>
        </w:rPr>
        <w:t xml:space="preserve">excluded based on this review. For example, we excluded contributors when the </w:t>
      </w:r>
      <w:r w:rsidRPr="00217D61">
        <w:rPr>
          <w:szCs w:val="22"/>
        </w:rPr>
        <w:t>International Classification of Diseases (ICD) coding was not complete enough for DRG assignment. Additionally, we review</w:t>
      </w:r>
      <w:r w:rsidR="0081257E">
        <w:rPr>
          <w:szCs w:val="22"/>
        </w:rPr>
        <w:t>ed</w:t>
      </w:r>
      <w:r w:rsidRPr="00217D61">
        <w:rPr>
          <w:szCs w:val="22"/>
        </w:rPr>
        <w:t xml:space="preserve"> the data quality for specific service categories and if insufficient information </w:t>
      </w:r>
      <w:r w:rsidR="0081257E">
        <w:rPr>
          <w:szCs w:val="22"/>
        </w:rPr>
        <w:t>was</w:t>
      </w:r>
      <w:r w:rsidRPr="00217D61">
        <w:rPr>
          <w:szCs w:val="22"/>
        </w:rPr>
        <w:t xml:space="preserve"> available to accurately assign RVUs, we impute</w:t>
      </w:r>
      <w:r w:rsidR="0081257E">
        <w:rPr>
          <w:szCs w:val="22"/>
        </w:rPr>
        <w:t>d</w:t>
      </w:r>
      <w:r w:rsidRPr="00217D61">
        <w:rPr>
          <w:szCs w:val="22"/>
        </w:rPr>
        <w:t xml:space="preserve"> RVUs based on the provider type and payment information for these services. For example, we imputed RVUs when specific outpatient service categories had HCPCS/CPT code and modifiers that were not reliably populated.</w:t>
      </w:r>
    </w:p>
    <w:p w14:paraId="6D65492A" w14:textId="40F2FB26" w:rsidR="00217D61" w:rsidRPr="00217D61" w:rsidRDefault="00217D61" w:rsidP="00217D61">
      <w:pPr>
        <w:spacing w:after="0"/>
        <w:rPr>
          <w:b/>
          <w:bCs/>
          <w:color w:val="C00000"/>
          <w:szCs w:val="22"/>
        </w:rPr>
      </w:pPr>
      <w:r w:rsidRPr="00217D61">
        <w:rPr>
          <w:b/>
          <w:bCs/>
          <w:color w:val="C00000"/>
          <w:szCs w:val="22"/>
        </w:rPr>
        <w:t xml:space="preserve">Removing </w:t>
      </w:r>
      <w:r w:rsidR="00D50F6A">
        <w:rPr>
          <w:b/>
          <w:bCs/>
          <w:color w:val="C00000"/>
          <w:szCs w:val="22"/>
        </w:rPr>
        <w:t>m</w:t>
      </w:r>
      <w:r w:rsidRPr="00217D61">
        <w:rPr>
          <w:b/>
          <w:bCs/>
          <w:color w:val="C00000"/>
          <w:szCs w:val="22"/>
        </w:rPr>
        <w:t xml:space="preserve">edical </w:t>
      </w:r>
      <w:r w:rsidR="00D50F6A">
        <w:rPr>
          <w:b/>
          <w:bCs/>
          <w:color w:val="C00000"/>
          <w:szCs w:val="22"/>
        </w:rPr>
        <w:t>e</w:t>
      </w:r>
      <w:r w:rsidRPr="00217D61">
        <w:rPr>
          <w:b/>
          <w:bCs/>
          <w:color w:val="C00000"/>
          <w:szCs w:val="22"/>
        </w:rPr>
        <w:t xml:space="preserve">ducation </w:t>
      </w:r>
      <w:r w:rsidR="00D50F6A">
        <w:rPr>
          <w:b/>
          <w:bCs/>
          <w:color w:val="C00000"/>
          <w:szCs w:val="22"/>
        </w:rPr>
        <w:t>c</w:t>
      </w:r>
      <w:r w:rsidRPr="00217D61">
        <w:rPr>
          <w:b/>
          <w:bCs/>
          <w:color w:val="C00000"/>
          <w:szCs w:val="22"/>
        </w:rPr>
        <w:t>osts</w:t>
      </w:r>
    </w:p>
    <w:p w14:paraId="4F91A2FE" w14:textId="59F98E00" w:rsidR="00C50275" w:rsidRPr="0081257E" w:rsidRDefault="00217D61" w:rsidP="00F77B3E">
      <w:pPr>
        <w:pStyle w:val="BodyText"/>
        <w:rPr>
          <w:szCs w:val="22"/>
        </w:rPr>
      </w:pPr>
      <w:r w:rsidRPr="00217D61">
        <w:rPr>
          <w:szCs w:val="22"/>
        </w:rPr>
        <w:t>HSCRC provided the estimated teaching costs per inpatient bed day for each M</w:t>
      </w:r>
      <w:r w:rsidR="0081257E">
        <w:rPr>
          <w:szCs w:val="22"/>
        </w:rPr>
        <w:t>D</w:t>
      </w:r>
      <w:r w:rsidRPr="00217D61">
        <w:rPr>
          <w:szCs w:val="22"/>
        </w:rPr>
        <w:t xml:space="preserve"> hospital. We assigned the teaching costs to the detailed APCD claims data based </w:t>
      </w:r>
      <w:r w:rsidR="00471EF2">
        <w:rPr>
          <w:szCs w:val="22"/>
        </w:rPr>
        <w:t>on</w:t>
      </w:r>
      <w:r w:rsidR="00471EF2" w:rsidRPr="00217D61">
        <w:rPr>
          <w:szCs w:val="22"/>
        </w:rPr>
        <w:t xml:space="preserve"> </w:t>
      </w:r>
      <w:r w:rsidRPr="00217D61">
        <w:rPr>
          <w:szCs w:val="22"/>
        </w:rPr>
        <w:t>the hospital identifier in the APCD. These teaching costs were assigned for all inpatient bed days except residential treatment, normal newborn, and skilled nursing days.</w:t>
      </w:r>
      <w:r>
        <w:rPr>
          <w:szCs w:val="22"/>
        </w:rPr>
        <w:t xml:space="preserve"> </w:t>
      </w:r>
      <w:r w:rsidR="0092260B">
        <w:rPr>
          <w:szCs w:val="22"/>
        </w:rPr>
        <w:t>The</w:t>
      </w:r>
      <w:r w:rsidR="00AE409C">
        <w:rPr>
          <w:szCs w:val="22"/>
        </w:rPr>
        <w:t xml:space="preserve"> teaching costs</w:t>
      </w:r>
      <w:r w:rsidR="0092260B">
        <w:rPr>
          <w:szCs w:val="22"/>
        </w:rPr>
        <w:t xml:space="preserve"> were then subtracted from inpatient costs </w:t>
      </w:r>
      <w:r w:rsidR="0092260B">
        <w:t>with the exception of residential treatment, normal newborn, and skilled nursing days</w:t>
      </w:r>
      <w:r w:rsidR="0092260B">
        <w:rPr>
          <w:szCs w:val="22"/>
        </w:rPr>
        <w:t>. For the CHSD</w:t>
      </w:r>
      <w:r w:rsidR="00F77B3E">
        <w:rPr>
          <w:lang w:val="en-US"/>
        </w:rPr>
        <w:t>, t</w:t>
      </w:r>
      <w:r w:rsidR="00F77B3E" w:rsidRPr="00F77B3E">
        <w:rPr>
          <w:lang w:val="en-US"/>
        </w:rPr>
        <w:t xml:space="preserve">eaching costs were assigned </w:t>
      </w:r>
      <w:r w:rsidR="00F77B3E">
        <w:rPr>
          <w:lang w:val="en-US"/>
        </w:rPr>
        <w:t xml:space="preserve">(and removed) </w:t>
      </w:r>
      <w:r w:rsidR="00F77B3E" w:rsidRPr="00F77B3E">
        <w:rPr>
          <w:lang w:val="en-US"/>
        </w:rPr>
        <w:t xml:space="preserve">based on MSA-level per day averages developed by HSCRC, rather than by hospital, </w:t>
      </w:r>
      <w:r w:rsidR="00471EF2">
        <w:rPr>
          <w:lang w:val="en-US"/>
        </w:rPr>
        <w:t>because</w:t>
      </w:r>
      <w:r w:rsidR="00471EF2" w:rsidRPr="00F77B3E">
        <w:rPr>
          <w:lang w:val="en-US"/>
        </w:rPr>
        <w:t xml:space="preserve"> </w:t>
      </w:r>
      <w:r w:rsidR="00F77B3E" w:rsidRPr="00F77B3E">
        <w:rPr>
          <w:lang w:val="en-US"/>
        </w:rPr>
        <w:t>hospital-specific identifiers were not readily available in the CHSD.</w:t>
      </w:r>
      <w:r w:rsidR="00F77B3E">
        <w:rPr>
          <w:lang w:val="en-US"/>
        </w:rPr>
        <w:t xml:space="preserve"> </w:t>
      </w:r>
      <w:r w:rsidR="0092260B">
        <w:t xml:space="preserve">Both </w:t>
      </w:r>
      <w:r w:rsidR="00AE409C">
        <w:t>the estimated indirect medical education</w:t>
      </w:r>
      <w:r w:rsidR="0092260B">
        <w:t xml:space="preserve"> </w:t>
      </w:r>
      <w:r w:rsidR="00AE409C">
        <w:t xml:space="preserve">and graduate medical education </w:t>
      </w:r>
      <w:r w:rsidR="0092260B">
        <w:t>costs were removed.</w:t>
      </w:r>
      <w:r w:rsidR="00C50275">
        <w:t xml:space="preserve"> Unless otherwise state, all reported inpatient costs have the teaching costs removed.</w:t>
      </w:r>
    </w:p>
    <w:p w14:paraId="6FFCBEFE" w14:textId="5E8B76DD" w:rsidR="00D50F6A" w:rsidRPr="00D50F6A" w:rsidRDefault="00D50F6A" w:rsidP="00D50F6A">
      <w:pPr>
        <w:spacing w:after="0"/>
        <w:rPr>
          <w:b/>
          <w:bCs/>
          <w:color w:val="C00000"/>
          <w:szCs w:val="22"/>
        </w:rPr>
      </w:pPr>
      <w:r>
        <w:rPr>
          <w:b/>
          <w:bCs/>
          <w:color w:val="C00000"/>
          <w:szCs w:val="22"/>
        </w:rPr>
        <w:t>Computing metrics</w:t>
      </w:r>
    </w:p>
    <w:p w14:paraId="0A0B65AB" w14:textId="3532EB30" w:rsidR="00E95517" w:rsidRDefault="00217D61" w:rsidP="00A32CBE">
      <w:pPr>
        <w:pStyle w:val="BodyText"/>
        <w:rPr>
          <w:lang w:val="en-US"/>
        </w:rPr>
      </w:pPr>
      <w:r>
        <w:rPr>
          <w:lang w:val="en-US"/>
        </w:rPr>
        <w:t>M</w:t>
      </w:r>
      <w:r w:rsidR="00A32CBE">
        <w:rPr>
          <w:lang w:val="en-US"/>
        </w:rPr>
        <w:t xml:space="preserve">etrics </w:t>
      </w:r>
      <w:r w:rsidR="00F2557B">
        <w:rPr>
          <w:lang w:val="en-US"/>
        </w:rPr>
        <w:t xml:space="preserve">were </w:t>
      </w:r>
      <w:r w:rsidR="00A32CBE">
        <w:rPr>
          <w:lang w:val="en-US"/>
        </w:rPr>
        <w:t>computed for each of the benchmark MSAs</w:t>
      </w:r>
      <w:r>
        <w:rPr>
          <w:lang w:val="en-US"/>
        </w:rPr>
        <w:t xml:space="preserve"> (using the CHSD)</w:t>
      </w:r>
      <w:r w:rsidR="00322418">
        <w:rPr>
          <w:lang w:val="en-US"/>
        </w:rPr>
        <w:t xml:space="preserve"> and </w:t>
      </w:r>
      <w:r w:rsidR="00D50F6A">
        <w:rPr>
          <w:lang w:val="en-US"/>
        </w:rPr>
        <w:t>averaged across the MSAs (without weights) to compute</w:t>
      </w:r>
      <w:r w:rsidR="0081257E">
        <w:rPr>
          <w:lang w:val="en-US"/>
        </w:rPr>
        <w:t xml:space="preserve"> an average</w:t>
      </w:r>
      <w:r w:rsidR="00D50F6A">
        <w:rPr>
          <w:lang w:val="en-US"/>
        </w:rPr>
        <w:t xml:space="preserve"> benchmark value per </w:t>
      </w:r>
      <w:r w:rsidR="00322418">
        <w:rPr>
          <w:lang w:val="en-US"/>
        </w:rPr>
        <w:t>MD region.</w:t>
      </w:r>
      <w:r w:rsidR="00D50F6A">
        <w:rPr>
          <w:lang w:val="en-US"/>
        </w:rPr>
        <w:t xml:space="preserve"> </w:t>
      </w:r>
      <w:r w:rsidR="00322418">
        <w:rPr>
          <w:lang w:val="en-US"/>
        </w:rPr>
        <w:t xml:space="preserve">In MD, </w:t>
      </w:r>
      <w:r>
        <w:rPr>
          <w:lang w:val="en-US"/>
        </w:rPr>
        <w:t>the APCD data were</w:t>
      </w:r>
      <w:r w:rsidR="00322418">
        <w:rPr>
          <w:lang w:val="en-US"/>
        </w:rPr>
        <w:t xml:space="preserve"> available at the </w:t>
      </w:r>
      <w:r w:rsidR="00734AA2">
        <w:rPr>
          <w:lang w:val="en-US"/>
        </w:rPr>
        <w:t xml:space="preserve">member </w:t>
      </w:r>
      <w:r w:rsidR="00322418">
        <w:rPr>
          <w:lang w:val="en-US"/>
        </w:rPr>
        <w:t>ZIP</w:t>
      </w:r>
      <w:r w:rsidR="00BB1A99">
        <w:rPr>
          <w:lang w:val="en-US"/>
        </w:rPr>
        <w:t>-</w:t>
      </w:r>
      <w:r w:rsidR="00322418">
        <w:rPr>
          <w:lang w:val="en-US"/>
        </w:rPr>
        <w:t xml:space="preserve">code level. Metrics </w:t>
      </w:r>
      <w:r w:rsidR="00F2557B">
        <w:rPr>
          <w:lang w:val="en-US"/>
        </w:rPr>
        <w:t xml:space="preserve">were </w:t>
      </w:r>
      <w:r w:rsidR="00322418">
        <w:rPr>
          <w:lang w:val="en-US"/>
        </w:rPr>
        <w:t>computed at the ZIP-</w:t>
      </w:r>
      <w:r w:rsidR="00BB1A99">
        <w:rPr>
          <w:lang w:val="en-US"/>
        </w:rPr>
        <w:t xml:space="preserve">code </w:t>
      </w:r>
      <w:r w:rsidR="00322418">
        <w:rPr>
          <w:lang w:val="en-US"/>
        </w:rPr>
        <w:t>level and aggregated up</w:t>
      </w:r>
      <w:r w:rsidR="00D50F6A">
        <w:rPr>
          <w:lang w:val="en-US"/>
        </w:rPr>
        <w:t xml:space="preserve"> to the PSAP or the MD region</w:t>
      </w:r>
      <w:r w:rsidR="00322418">
        <w:rPr>
          <w:lang w:val="en-US"/>
        </w:rPr>
        <w:t>, depending on the comparison</w:t>
      </w:r>
      <w:r w:rsidR="0071130A">
        <w:rPr>
          <w:lang w:val="en-US"/>
        </w:rPr>
        <w:t xml:space="preserve"> (see </w:t>
      </w:r>
      <w:r w:rsidR="0071130A" w:rsidRPr="0071130A">
        <w:rPr>
          <w:b/>
          <w:bCs/>
          <w:lang w:val="en-US"/>
        </w:rPr>
        <w:t>Section C.6</w:t>
      </w:r>
      <w:r w:rsidR="0071130A">
        <w:rPr>
          <w:lang w:val="en-US"/>
        </w:rPr>
        <w:t>)</w:t>
      </w:r>
      <w:r w:rsidR="00322418">
        <w:rPr>
          <w:lang w:val="en-US"/>
        </w:rPr>
        <w:t xml:space="preserve">. </w:t>
      </w:r>
    </w:p>
    <w:p w14:paraId="1BF7139C" w14:textId="6BE56755" w:rsidR="0081257E" w:rsidRDefault="0081257E" w:rsidP="00A32CBE">
      <w:pPr>
        <w:pStyle w:val="BodyText"/>
        <w:rPr>
          <w:lang w:val="en-US"/>
        </w:rPr>
      </w:pPr>
      <w:r>
        <w:rPr>
          <w:lang w:val="en-US"/>
        </w:rPr>
        <w:t xml:space="preserve">Additional information on the metrics used can be found in </w:t>
      </w:r>
      <w:r w:rsidR="001F3D44">
        <w:rPr>
          <w:lang w:val="en-US"/>
        </w:rPr>
        <w:t>“</w:t>
      </w:r>
      <w:r w:rsidR="001F3D44" w:rsidRPr="001F3D44">
        <w:rPr>
          <w:lang w:val="en-US"/>
        </w:rPr>
        <w:t>CY 201</w:t>
      </w:r>
      <w:r w:rsidR="00850819">
        <w:rPr>
          <w:lang w:val="en-US"/>
        </w:rPr>
        <w:t>8</w:t>
      </w:r>
      <w:r w:rsidR="001F3D44" w:rsidRPr="001F3D44">
        <w:rPr>
          <w:lang w:val="en-US"/>
        </w:rPr>
        <w:t xml:space="preserve"> Milliman Benchmark</w:t>
      </w:r>
      <w:r w:rsidR="001F3D44">
        <w:rPr>
          <w:lang w:val="en-US"/>
        </w:rPr>
        <w:t xml:space="preserve"> </w:t>
      </w:r>
      <w:r w:rsidR="001F3D44" w:rsidRPr="001F3D44">
        <w:rPr>
          <w:lang w:val="en-US"/>
        </w:rPr>
        <w:t>and Maryland All-Payer Claims</w:t>
      </w:r>
      <w:r w:rsidR="001F3D44">
        <w:rPr>
          <w:lang w:val="en-US"/>
        </w:rPr>
        <w:t xml:space="preserve"> </w:t>
      </w:r>
      <w:r w:rsidR="001F3D44" w:rsidRPr="001F3D44">
        <w:rPr>
          <w:lang w:val="en-US"/>
        </w:rPr>
        <w:t>Database Cost and Utilization</w:t>
      </w:r>
      <w:r w:rsidR="001F3D44">
        <w:rPr>
          <w:lang w:val="en-US"/>
        </w:rPr>
        <w:t xml:space="preserve"> </w:t>
      </w:r>
      <w:r w:rsidR="001F3D44" w:rsidRPr="001F3D44">
        <w:rPr>
          <w:lang w:val="en-US"/>
        </w:rPr>
        <w:t>Exhibits</w:t>
      </w:r>
      <w:r w:rsidR="001F3D44">
        <w:rPr>
          <w:lang w:val="en-US"/>
        </w:rPr>
        <w:t xml:space="preserve"> Report” available at </w:t>
      </w:r>
      <w:hyperlink r:id="rId14" w:tooltip="https://www.milliman.com/2018-Benchmark-APCD-Methodology" w:history="1">
        <w:r w:rsidR="00A77BD3" w:rsidRPr="009E3DA1">
          <w:rPr>
            <w:rStyle w:val="Hyperlink"/>
            <w:color w:val="954F72"/>
          </w:rPr>
          <w:t>https://www.milliman.com/2018-Benchmark-APCD-Methodology</w:t>
        </w:r>
      </w:hyperlink>
      <w:r>
        <w:rPr>
          <w:lang w:val="en-US"/>
        </w:rPr>
        <w:t>.</w:t>
      </w:r>
    </w:p>
    <w:p w14:paraId="3BC1F2BD" w14:textId="2663A73C" w:rsidR="00897C95" w:rsidRDefault="00897C95" w:rsidP="00897C95">
      <w:pPr>
        <w:pStyle w:val="Heading2"/>
      </w:pPr>
      <w:bookmarkStart w:id="9" w:name="_Toc35363779"/>
      <w:r>
        <w:t>Normalize Metrics</w:t>
      </w:r>
      <w:bookmarkEnd w:id="9"/>
    </w:p>
    <w:p w14:paraId="6C1C5A4D" w14:textId="698B0117" w:rsidR="00034110" w:rsidRDefault="00DC5C53" w:rsidP="00034110">
      <w:pPr>
        <w:pStyle w:val="BodyText"/>
        <w:rPr>
          <w:iCs/>
          <w:lang w:val="en-US"/>
        </w:rPr>
      </w:pPr>
      <w:r>
        <w:t>Although benchmark MSAs were selected to be more similar to the MD regions, MSAs are fairly large and c</w:t>
      </w:r>
      <w:r w:rsidR="00F2557B">
        <w:t xml:space="preserve">ould </w:t>
      </w:r>
      <w:r>
        <w:t>differ from MD regions</w:t>
      </w:r>
      <w:r w:rsidR="001F5C19">
        <w:t xml:space="preserve"> and hospital service areas (PSAPs) within the five Maryland regions</w:t>
      </w:r>
      <w:r>
        <w:t xml:space="preserve">. </w:t>
      </w:r>
      <w:r w:rsidR="00AB34A0">
        <w:t>To enhance comparability within the five MD regions and to address the residual differences between the MD regions and the benchmarks, we developed a regression adjustment methodology to further control for differences in the characteristics of</w:t>
      </w:r>
      <w:r w:rsidR="00AB34A0" w:rsidRPr="00B84894">
        <w:rPr>
          <w:iCs/>
          <w:lang w:val="en-US"/>
        </w:rPr>
        <w:t xml:space="preserve"> </w:t>
      </w:r>
      <w:r w:rsidR="00AB34A0">
        <w:rPr>
          <w:iCs/>
          <w:lang w:val="en-US"/>
        </w:rPr>
        <w:t>median income</w:t>
      </w:r>
      <w:r w:rsidR="00850819">
        <w:rPr>
          <w:iCs/>
          <w:lang w:val="en-US"/>
        </w:rPr>
        <w:t xml:space="preserve"> and</w:t>
      </w:r>
      <w:r w:rsidR="00AB34A0">
        <w:rPr>
          <w:iCs/>
          <w:lang w:val="en-US"/>
        </w:rPr>
        <w:t xml:space="preserve"> the deep poverty percentage</w:t>
      </w:r>
      <w:r w:rsidR="00BC520C">
        <w:rPr>
          <w:iCs/>
          <w:lang w:val="en-US"/>
        </w:rPr>
        <w:t xml:space="preserve">. </w:t>
      </w:r>
      <w:r w:rsidR="00850819">
        <w:t xml:space="preserve">We also added a </w:t>
      </w:r>
      <w:r w:rsidR="00850819">
        <w:lastRenderedPageBreak/>
        <w:t xml:space="preserve">measure of plan benefit levels to control for the generosity of coverage since commercial benefits can vary, affecting utilization. </w:t>
      </w:r>
      <w:r w:rsidR="00AB34A0">
        <w:t xml:space="preserve">The adjustment factors used are shown in </w:t>
      </w:r>
      <w:r w:rsidR="00AB34A0" w:rsidRPr="00DC5C53">
        <w:rPr>
          <w:b/>
          <w:bCs/>
        </w:rPr>
        <w:t xml:space="preserve">Exhibit </w:t>
      </w:r>
      <w:r w:rsidR="00AB34A0">
        <w:rPr>
          <w:b/>
          <w:bCs/>
        </w:rPr>
        <w:t>5</w:t>
      </w:r>
      <w:r w:rsidR="00AB34A0">
        <w:t>.</w:t>
      </w:r>
    </w:p>
    <w:p w14:paraId="7C70DE03" w14:textId="7DE9E544" w:rsidR="0055730E" w:rsidRPr="0055730E" w:rsidRDefault="00322418" w:rsidP="0055730E">
      <w:pPr>
        <w:pStyle w:val="Caption"/>
      </w:pPr>
      <w:r>
        <w:t xml:space="preserve">Exhibit </w:t>
      </w:r>
      <w:r w:rsidR="00DC5C53">
        <w:t>5</w:t>
      </w:r>
      <w:r>
        <w:t>.</w:t>
      </w:r>
      <w:r>
        <w:tab/>
      </w:r>
      <w:r w:rsidR="00237566">
        <w:t xml:space="preserve">Adjustment </w:t>
      </w:r>
      <w:r w:rsidR="0055730E">
        <w:t xml:space="preserve">Factors </w:t>
      </w:r>
    </w:p>
    <w:tbl>
      <w:tblPr>
        <w:tblStyle w:val="TableGrid"/>
        <w:tblW w:w="0" w:type="auto"/>
        <w:tblLook w:val="04A0" w:firstRow="1" w:lastRow="0" w:firstColumn="1" w:lastColumn="0" w:noHBand="0" w:noVBand="1"/>
      </w:tblPr>
      <w:tblGrid>
        <w:gridCol w:w="6205"/>
        <w:gridCol w:w="3125"/>
      </w:tblGrid>
      <w:tr w:rsidR="00322418" w:rsidRPr="00E46FC2" w14:paraId="09290203" w14:textId="77777777" w:rsidTr="0055730E">
        <w:trPr>
          <w:trHeight w:val="352"/>
        </w:trPr>
        <w:tc>
          <w:tcPr>
            <w:tcW w:w="6205" w:type="dxa"/>
            <w:shd w:val="clear" w:color="auto" w:fill="48A9C5" w:themeFill="text2"/>
          </w:tcPr>
          <w:p w14:paraId="36CBF65C" w14:textId="1E906F16" w:rsidR="00322418" w:rsidRPr="00E46FC2" w:rsidRDefault="0055730E" w:rsidP="0055730E">
            <w:pPr>
              <w:spacing w:after="0"/>
              <w:rPr>
                <w:rFonts w:ascii="Arial Narrow" w:hAnsi="Arial Narrow"/>
                <w:b/>
                <w:color w:val="FFFFFF" w:themeColor="background1"/>
                <w:sz w:val="20"/>
              </w:rPr>
            </w:pPr>
            <w:r>
              <w:rPr>
                <w:rFonts w:ascii="Arial Narrow" w:hAnsi="Arial Narrow"/>
                <w:b/>
                <w:color w:val="FFFFFF" w:themeColor="background1"/>
                <w:sz w:val="20"/>
              </w:rPr>
              <w:t>Factor</w:t>
            </w:r>
          </w:p>
        </w:tc>
        <w:tc>
          <w:tcPr>
            <w:tcW w:w="3125" w:type="dxa"/>
            <w:shd w:val="clear" w:color="auto" w:fill="48A9C5" w:themeFill="text2"/>
          </w:tcPr>
          <w:p w14:paraId="49B6E982" w14:textId="77777777" w:rsidR="00322418" w:rsidRPr="00E46FC2" w:rsidRDefault="00322418" w:rsidP="0055730E">
            <w:pPr>
              <w:spacing w:after="0"/>
              <w:rPr>
                <w:rFonts w:ascii="Arial Narrow" w:hAnsi="Arial Narrow"/>
                <w:b/>
                <w:color w:val="FFFFFF" w:themeColor="background1"/>
                <w:sz w:val="20"/>
              </w:rPr>
            </w:pPr>
            <w:r w:rsidRPr="00E46FC2">
              <w:rPr>
                <w:rFonts w:ascii="Arial Narrow" w:hAnsi="Arial Narrow"/>
                <w:b/>
                <w:color w:val="FFFFFF" w:themeColor="background1"/>
                <w:sz w:val="20"/>
              </w:rPr>
              <w:t>Data Source</w:t>
            </w:r>
          </w:p>
        </w:tc>
      </w:tr>
      <w:tr w:rsidR="00322418" w:rsidRPr="00E46FC2" w14:paraId="6918315E" w14:textId="77777777" w:rsidTr="0055730E">
        <w:trPr>
          <w:trHeight w:val="360"/>
        </w:trPr>
        <w:tc>
          <w:tcPr>
            <w:tcW w:w="6205" w:type="dxa"/>
            <w:vAlign w:val="center"/>
          </w:tcPr>
          <w:p w14:paraId="157589A7" w14:textId="77777777" w:rsidR="00322418" w:rsidRPr="00E46FC2" w:rsidRDefault="00322418" w:rsidP="0055730E">
            <w:pPr>
              <w:spacing w:after="0"/>
              <w:rPr>
                <w:rFonts w:ascii="Arial Narrow" w:hAnsi="Arial Narrow" w:cs="Calibri"/>
                <w:color w:val="000000"/>
                <w:sz w:val="20"/>
              </w:rPr>
            </w:pPr>
            <w:r w:rsidRPr="007634B6">
              <w:rPr>
                <w:rFonts w:ascii="Arial Narrow" w:hAnsi="Arial Narrow" w:cs="Calibri"/>
                <w:b/>
                <w:bCs/>
                <w:color w:val="000000"/>
                <w:sz w:val="20"/>
              </w:rPr>
              <w:t>Median income:</w:t>
            </w:r>
            <w:r>
              <w:rPr>
                <w:rFonts w:ascii="Arial Narrow" w:hAnsi="Arial Narrow" w:cs="Calibri"/>
                <w:color w:val="000000"/>
                <w:sz w:val="20"/>
              </w:rPr>
              <w:t xml:space="preserve"> median household income</w:t>
            </w:r>
          </w:p>
        </w:tc>
        <w:tc>
          <w:tcPr>
            <w:tcW w:w="3125" w:type="dxa"/>
            <w:vAlign w:val="center"/>
          </w:tcPr>
          <w:p w14:paraId="592E87AF" w14:textId="77777777" w:rsidR="00322418" w:rsidRPr="00E46FC2" w:rsidRDefault="00322418" w:rsidP="0055730E">
            <w:pPr>
              <w:spacing w:after="0"/>
              <w:rPr>
                <w:rFonts w:ascii="Arial Narrow" w:hAnsi="Arial Narrow"/>
                <w:sz w:val="20"/>
              </w:rPr>
            </w:pPr>
            <w:r w:rsidRPr="009143D9">
              <w:rPr>
                <w:rFonts w:ascii="Arial Narrow" w:hAnsi="Arial Narrow"/>
                <w:sz w:val="20"/>
              </w:rPr>
              <w:t>ACS, 2013-2017 5-Year Estimates</w:t>
            </w:r>
          </w:p>
        </w:tc>
      </w:tr>
      <w:tr w:rsidR="00322418" w:rsidRPr="00E46FC2" w14:paraId="0731E6F9" w14:textId="77777777" w:rsidTr="0055730E">
        <w:trPr>
          <w:trHeight w:val="360"/>
        </w:trPr>
        <w:tc>
          <w:tcPr>
            <w:tcW w:w="6205" w:type="dxa"/>
            <w:vAlign w:val="center"/>
          </w:tcPr>
          <w:p w14:paraId="602AD975" w14:textId="7BD46DBF" w:rsidR="00322418" w:rsidRPr="005F4671" w:rsidRDefault="00DC5C53" w:rsidP="0055730E">
            <w:pPr>
              <w:spacing w:after="0"/>
              <w:rPr>
                <w:rFonts w:ascii="Arial Narrow" w:hAnsi="Arial Narrow" w:cs="Calibri"/>
                <w:color w:val="000000"/>
                <w:sz w:val="20"/>
              </w:rPr>
            </w:pPr>
            <w:r w:rsidRPr="005F4671">
              <w:rPr>
                <w:rFonts w:ascii="Arial Narrow" w:hAnsi="Arial Narrow" w:cs="Calibri"/>
                <w:b/>
                <w:bCs/>
                <w:color w:val="000000"/>
                <w:sz w:val="20"/>
              </w:rPr>
              <w:t>Deep poverty percentage</w:t>
            </w:r>
            <w:r>
              <w:rPr>
                <w:rFonts w:ascii="Arial Narrow" w:hAnsi="Arial Narrow" w:cs="Calibri"/>
                <w:color w:val="000000"/>
                <w:sz w:val="20"/>
              </w:rPr>
              <w:t>: percentage of the population living in a household with total income below 50 percent of its poverty threshold</w:t>
            </w:r>
          </w:p>
        </w:tc>
        <w:tc>
          <w:tcPr>
            <w:tcW w:w="3125" w:type="dxa"/>
            <w:vAlign w:val="center"/>
          </w:tcPr>
          <w:p w14:paraId="66E55670" w14:textId="77777777" w:rsidR="00322418" w:rsidRPr="00E46FC2" w:rsidRDefault="00322418" w:rsidP="0055730E">
            <w:pPr>
              <w:spacing w:after="0"/>
              <w:rPr>
                <w:rFonts w:ascii="Arial Narrow" w:hAnsi="Arial Narrow"/>
                <w:sz w:val="20"/>
              </w:rPr>
            </w:pPr>
            <w:r w:rsidRPr="009143D9">
              <w:rPr>
                <w:rFonts w:ascii="Arial Narrow" w:hAnsi="Arial Narrow"/>
                <w:sz w:val="20"/>
              </w:rPr>
              <w:t>ACS, 2013-2017 5-Year Estimates</w:t>
            </w:r>
          </w:p>
        </w:tc>
      </w:tr>
      <w:tr w:rsidR="00C35FF0" w:rsidRPr="00E46FC2" w14:paraId="38AD27C8" w14:textId="77777777" w:rsidTr="0055730E">
        <w:trPr>
          <w:trHeight w:val="339"/>
        </w:trPr>
        <w:tc>
          <w:tcPr>
            <w:tcW w:w="6205" w:type="dxa"/>
            <w:vAlign w:val="center"/>
          </w:tcPr>
          <w:p w14:paraId="25A29097" w14:textId="52725453" w:rsidR="00C35FF0" w:rsidRPr="007634B6" w:rsidRDefault="00C35FF0">
            <w:pPr>
              <w:spacing w:after="0"/>
              <w:rPr>
                <w:rFonts w:ascii="Arial Narrow" w:hAnsi="Arial Narrow" w:cs="Calibri"/>
                <w:b/>
                <w:bCs/>
                <w:color w:val="000000"/>
                <w:sz w:val="20"/>
              </w:rPr>
            </w:pPr>
            <w:r>
              <w:rPr>
                <w:rFonts w:ascii="Arial Narrow" w:hAnsi="Arial Narrow" w:cs="Calibri"/>
                <w:b/>
                <w:bCs/>
                <w:color w:val="000000"/>
                <w:sz w:val="20"/>
              </w:rPr>
              <w:t>Benefit level</w:t>
            </w:r>
            <w:r w:rsidR="00AF4207">
              <w:rPr>
                <w:rFonts w:ascii="Arial Narrow" w:hAnsi="Arial Narrow" w:cs="Calibri"/>
                <w:b/>
                <w:bCs/>
                <w:color w:val="000000"/>
                <w:sz w:val="20"/>
              </w:rPr>
              <w:t>s</w:t>
            </w:r>
            <w:r>
              <w:rPr>
                <w:rFonts w:ascii="Arial Narrow" w:hAnsi="Arial Narrow" w:cs="Calibri"/>
                <w:b/>
                <w:bCs/>
                <w:color w:val="000000"/>
                <w:sz w:val="20"/>
              </w:rPr>
              <w:t xml:space="preserve">: </w:t>
            </w:r>
            <w:r>
              <w:rPr>
                <w:rFonts w:ascii="Arial Narrow" w:hAnsi="Arial Narrow" w:cs="Calibri"/>
                <w:color w:val="000000"/>
                <w:sz w:val="20"/>
              </w:rPr>
              <w:t>Based on average member cost sharing levels</w:t>
            </w:r>
            <w:r w:rsidR="00AF4207">
              <w:rPr>
                <w:rFonts w:ascii="Arial Narrow" w:hAnsi="Arial Narrow" w:cs="Calibri"/>
                <w:color w:val="000000"/>
                <w:sz w:val="20"/>
              </w:rPr>
              <w:t xml:space="preserve"> to account for differences</w:t>
            </w:r>
            <w:r w:rsidR="00C806A4">
              <w:rPr>
                <w:rFonts w:ascii="Arial Narrow" w:hAnsi="Arial Narrow" w:cs="Calibri"/>
                <w:color w:val="000000"/>
                <w:sz w:val="20"/>
              </w:rPr>
              <w:t xml:space="preserve"> in member utilization level</w:t>
            </w:r>
            <w:r w:rsidR="00AF4207">
              <w:rPr>
                <w:rFonts w:ascii="Arial Narrow" w:hAnsi="Arial Narrow" w:cs="Calibri"/>
                <w:color w:val="000000"/>
                <w:sz w:val="20"/>
              </w:rPr>
              <w:t xml:space="preserve"> caused by plan design. </w:t>
            </w:r>
            <w:r w:rsidR="00AF4207" w:rsidRPr="00AF4207">
              <w:rPr>
                <w:rFonts w:ascii="Arial Narrow" w:hAnsi="Arial Narrow" w:cs="Calibri"/>
                <w:b/>
                <w:bCs/>
                <w:color w:val="000000"/>
                <w:sz w:val="20"/>
              </w:rPr>
              <w:t xml:space="preserve">Appendix </w:t>
            </w:r>
            <w:r w:rsidR="0081257E">
              <w:rPr>
                <w:rFonts w:ascii="Arial Narrow" w:hAnsi="Arial Narrow" w:cs="Calibri"/>
                <w:b/>
                <w:bCs/>
                <w:color w:val="000000"/>
                <w:sz w:val="20"/>
              </w:rPr>
              <w:t>B</w:t>
            </w:r>
            <w:r w:rsidR="00AF4207">
              <w:rPr>
                <w:rFonts w:ascii="Arial Narrow" w:hAnsi="Arial Narrow" w:cs="Calibri"/>
                <w:color w:val="000000"/>
                <w:sz w:val="20"/>
              </w:rPr>
              <w:t xml:space="preserve"> provides additional detail on how benefit levels were calculated. </w:t>
            </w:r>
          </w:p>
        </w:tc>
        <w:tc>
          <w:tcPr>
            <w:tcW w:w="3125" w:type="dxa"/>
            <w:vAlign w:val="center"/>
          </w:tcPr>
          <w:p w14:paraId="6891B3D7" w14:textId="14B5C692" w:rsidR="00C35FF0" w:rsidRPr="00E46FC2" w:rsidRDefault="00C35FF0" w:rsidP="00C35FF0">
            <w:pPr>
              <w:spacing w:after="0"/>
              <w:rPr>
                <w:rFonts w:ascii="Arial Narrow" w:hAnsi="Arial Narrow"/>
                <w:sz w:val="20"/>
              </w:rPr>
            </w:pPr>
            <w:r w:rsidRPr="00E46FC2">
              <w:rPr>
                <w:rFonts w:ascii="Arial Narrow" w:hAnsi="Arial Narrow"/>
                <w:sz w:val="20"/>
              </w:rPr>
              <w:t>Milliman CHSD</w:t>
            </w:r>
            <w:r>
              <w:rPr>
                <w:rFonts w:ascii="Arial Narrow" w:hAnsi="Arial Narrow"/>
                <w:sz w:val="20"/>
              </w:rPr>
              <w:t xml:space="preserve"> and MD APCD, 201</w:t>
            </w:r>
            <w:r w:rsidR="0030403B">
              <w:rPr>
                <w:rFonts w:ascii="Arial Narrow" w:hAnsi="Arial Narrow"/>
                <w:sz w:val="20"/>
              </w:rPr>
              <w:t>8</w:t>
            </w:r>
          </w:p>
        </w:tc>
      </w:tr>
      <w:tr w:rsidR="00322418" w:rsidRPr="00E46FC2" w14:paraId="7CADAB02" w14:textId="77777777" w:rsidTr="0055730E">
        <w:trPr>
          <w:trHeight w:val="339"/>
        </w:trPr>
        <w:tc>
          <w:tcPr>
            <w:tcW w:w="6205" w:type="dxa"/>
            <w:vAlign w:val="center"/>
          </w:tcPr>
          <w:p w14:paraId="47CB47A6" w14:textId="076F4879" w:rsidR="00322418" w:rsidRPr="00E46FC2" w:rsidRDefault="00322418" w:rsidP="0055730E">
            <w:pPr>
              <w:spacing w:after="0"/>
              <w:rPr>
                <w:rFonts w:ascii="Arial Narrow" w:hAnsi="Arial Narrow" w:cs="Calibri"/>
                <w:color w:val="000000"/>
                <w:sz w:val="20"/>
              </w:rPr>
            </w:pPr>
            <w:r w:rsidRPr="007634B6">
              <w:rPr>
                <w:rFonts w:ascii="Arial Narrow" w:hAnsi="Arial Narrow" w:cs="Calibri"/>
                <w:b/>
                <w:bCs/>
                <w:color w:val="000000"/>
                <w:sz w:val="20"/>
              </w:rPr>
              <w:t xml:space="preserve">HHS Platinum </w:t>
            </w:r>
            <w:r w:rsidR="00237566">
              <w:rPr>
                <w:rFonts w:ascii="Arial Narrow" w:hAnsi="Arial Narrow" w:cs="Calibri"/>
                <w:b/>
                <w:bCs/>
                <w:color w:val="000000"/>
                <w:sz w:val="20"/>
              </w:rPr>
              <w:t>r</w:t>
            </w:r>
            <w:r w:rsidRPr="007634B6">
              <w:rPr>
                <w:rFonts w:ascii="Arial Narrow" w:hAnsi="Arial Narrow" w:cs="Calibri"/>
                <w:b/>
                <w:bCs/>
                <w:color w:val="000000"/>
                <w:sz w:val="20"/>
              </w:rPr>
              <w:t xml:space="preserve">isk </w:t>
            </w:r>
            <w:r w:rsidR="00237566">
              <w:rPr>
                <w:rFonts w:ascii="Arial Narrow" w:hAnsi="Arial Narrow" w:cs="Calibri"/>
                <w:b/>
                <w:bCs/>
                <w:color w:val="000000"/>
                <w:sz w:val="20"/>
              </w:rPr>
              <w:t>s</w:t>
            </w:r>
            <w:r w:rsidRPr="007634B6">
              <w:rPr>
                <w:rFonts w:ascii="Arial Narrow" w:hAnsi="Arial Narrow" w:cs="Calibri"/>
                <w:b/>
                <w:bCs/>
                <w:color w:val="000000"/>
                <w:sz w:val="20"/>
              </w:rPr>
              <w:t>core:</w:t>
            </w:r>
            <w:r>
              <w:rPr>
                <w:rFonts w:ascii="Arial Narrow" w:hAnsi="Arial Narrow" w:cs="Calibri"/>
                <w:color w:val="000000"/>
                <w:sz w:val="20"/>
              </w:rPr>
              <w:t xml:space="preserve"> Risk score developed by HHS to predict </w:t>
            </w:r>
            <w:r w:rsidR="00C35FF0">
              <w:rPr>
                <w:rFonts w:ascii="Arial Narrow" w:hAnsi="Arial Narrow" w:cs="Calibri"/>
                <w:color w:val="000000"/>
                <w:sz w:val="20"/>
              </w:rPr>
              <w:t xml:space="preserve">Health Insurance </w:t>
            </w:r>
            <w:r>
              <w:rPr>
                <w:rFonts w:ascii="Arial Narrow" w:hAnsi="Arial Narrow" w:cs="Calibri"/>
                <w:color w:val="000000"/>
                <w:sz w:val="20"/>
              </w:rPr>
              <w:t>Exchange plan liability</w:t>
            </w:r>
            <w:r w:rsidR="00C35FF0">
              <w:rPr>
                <w:rFonts w:ascii="Arial Narrow" w:hAnsi="Arial Narrow" w:cs="Calibri"/>
                <w:color w:val="000000"/>
                <w:sz w:val="20"/>
              </w:rPr>
              <w:t>.</w:t>
            </w:r>
            <w:r w:rsidR="0030403B">
              <w:rPr>
                <w:rStyle w:val="FootnoteReference"/>
                <w:rFonts w:ascii="Arial Narrow" w:hAnsi="Arial Narrow" w:cs="Calibri"/>
                <w:color w:val="000000"/>
                <w:sz w:val="20"/>
              </w:rPr>
              <w:footnoteReference w:id="2"/>
            </w:r>
          </w:p>
        </w:tc>
        <w:tc>
          <w:tcPr>
            <w:tcW w:w="3125" w:type="dxa"/>
            <w:vAlign w:val="center"/>
          </w:tcPr>
          <w:p w14:paraId="5C8886F1" w14:textId="1C8F8225" w:rsidR="00322418" w:rsidRPr="00E46FC2" w:rsidRDefault="00322418" w:rsidP="0055730E">
            <w:pPr>
              <w:spacing w:after="0"/>
              <w:rPr>
                <w:rFonts w:ascii="Arial Narrow" w:hAnsi="Arial Narrow"/>
                <w:sz w:val="20"/>
              </w:rPr>
            </w:pPr>
            <w:r w:rsidRPr="00E46FC2">
              <w:rPr>
                <w:rFonts w:ascii="Arial Narrow" w:hAnsi="Arial Narrow"/>
                <w:sz w:val="20"/>
              </w:rPr>
              <w:t>Milliman CHSD</w:t>
            </w:r>
            <w:r>
              <w:rPr>
                <w:rFonts w:ascii="Arial Narrow" w:hAnsi="Arial Narrow"/>
                <w:sz w:val="20"/>
              </w:rPr>
              <w:t xml:space="preserve"> and MD APCD, 201</w:t>
            </w:r>
            <w:r w:rsidR="0030403B">
              <w:rPr>
                <w:rFonts w:ascii="Arial Narrow" w:hAnsi="Arial Narrow"/>
                <w:sz w:val="20"/>
              </w:rPr>
              <w:t>8</w:t>
            </w:r>
          </w:p>
        </w:tc>
      </w:tr>
    </w:tbl>
    <w:p w14:paraId="658913E7" w14:textId="24D69BBE" w:rsidR="00322418" w:rsidRPr="005C13A5" w:rsidRDefault="00322418" w:rsidP="00322418">
      <w:pPr>
        <w:pStyle w:val="BodyText"/>
        <w:rPr>
          <w:rFonts w:ascii="Arial Narrow" w:hAnsi="Arial Narrow"/>
          <w:sz w:val="18"/>
          <w:szCs w:val="18"/>
        </w:rPr>
      </w:pPr>
      <w:r w:rsidRPr="005C13A5">
        <w:rPr>
          <w:rFonts w:ascii="Arial Narrow" w:hAnsi="Arial Narrow"/>
          <w:b/>
          <w:bCs/>
          <w:sz w:val="18"/>
          <w:szCs w:val="18"/>
        </w:rPr>
        <w:t>Note:</w:t>
      </w:r>
      <w:r w:rsidRPr="005C13A5">
        <w:rPr>
          <w:rFonts w:ascii="Arial Narrow" w:hAnsi="Arial Narrow"/>
          <w:sz w:val="18"/>
          <w:szCs w:val="18"/>
        </w:rPr>
        <w:t xml:space="preserve"> HHS = Health and Human Services; ACS = American Community Survey</w:t>
      </w:r>
    </w:p>
    <w:p w14:paraId="58217E1F" w14:textId="3540572A" w:rsidR="0055730E" w:rsidRPr="00BB1A99" w:rsidRDefault="00AB34A0" w:rsidP="00322418">
      <w:pPr>
        <w:pStyle w:val="BodyText"/>
        <w:rPr>
          <w:i/>
          <w:u w:val="single"/>
          <w:lang w:val="en-US"/>
        </w:rPr>
      </w:pPr>
      <w:r>
        <w:rPr>
          <w:iCs/>
          <w:lang w:val="en-US"/>
        </w:rPr>
        <w:t>Prior to the regression calculations, w</w:t>
      </w:r>
      <w:r w:rsidR="00AF4207">
        <w:rPr>
          <w:iCs/>
          <w:lang w:val="en-US"/>
        </w:rPr>
        <w:t xml:space="preserve">e </w:t>
      </w:r>
      <w:r w:rsidR="008177C7">
        <w:rPr>
          <w:iCs/>
          <w:lang w:val="en-US"/>
        </w:rPr>
        <w:t>risk score</w:t>
      </w:r>
      <w:r w:rsidR="0081257E">
        <w:rPr>
          <w:iCs/>
          <w:lang w:val="en-US"/>
        </w:rPr>
        <w:t xml:space="preserve"> </w:t>
      </w:r>
      <w:r w:rsidR="00850819">
        <w:rPr>
          <w:iCs/>
          <w:lang w:val="en-US"/>
        </w:rPr>
        <w:t xml:space="preserve">and benefit-level </w:t>
      </w:r>
      <w:r w:rsidR="008177C7">
        <w:rPr>
          <w:iCs/>
          <w:lang w:val="en-US"/>
        </w:rPr>
        <w:t>normalize</w:t>
      </w:r>
      <w:r w:rsidR="0081257E">
        <w:rPr>
          <w:iCs/>
          <w:lang w:val="en-US"/>
        </w:rPr>
        <w:t>d</w:t>
      </w:r>
      <w:r w:rsidR="00AF4207">
        <w:rPr>
          <w:iCs/>
          <w:lang w:val="en-US"/>
        </w:rPr>
        <w:t xml:space="preserve"> both</w:t>
      </w:r>
      <w:r w:rsidR="00C35FF0">
        <w:rPr>
          <w:iCs/>
          <w:lang w:val="en-US"/>
        </w:rPr>
        <w:t xml:space="preserve"> total PMPM allowed charges </w:t>
      </w:r>
      <w:r w:rsidR="00AF4207">
        <w:rPr>
          <w:iCs/>
          <w:lang w:val="en-US"/>
        </w:rPr>
        <w:t xml:space="preserve">and total PMPM RVUs </w:t>
      </w:r>
      <w:r w:rsidR="00C35FF0">
        <w:rPr>
          <w:iCs/>
          <w:lang w:val="en-US"/>
        </w:rPr>
        <w:t>using the HHS Platinum risk score</w:t>
      </w:r>
      <w:r w:rsidR="00AF4207">
        <w:rPr>
          <w:iCs/>
          <w:lang w:val="en-US"/>
        </w:rPr>
        <w:t xml:space="preserve"> </w:t>
      </w:r>
      <w:r w:rsidR="008177C7">
        <w:rPr>
          <w:iCs/>
          <w:lang w:val="en-US"/>
        </w:rPr>
        <w:t>standardized</w:t>
      </w:r>
      <w:r w:rsidR="00402D4E">
        <w:rPr>
          <w:iCs/>
          <w:lang w:val="en-US"/>
        </w:rPr>
        <w:t xml:space="preserve"> to the MD average risk score</w:t>
      </w:r>
      <w:r w:rsidR="00850819">
        <w:rPr>
          <w:iCs/>
          <w:lang w:val="en-US"/>
        </w:rPr>
        <w:t xml:space="preserve"> and plan benefit levels</w:t>
      </w:r>
      <w:r w:rsidR="00402D4E">
        <w:rPr>
          <w:iCs/>
          <w:lang w:val="en-US"/>
        </w:rPr>
        <w:t xml:space="preserve">. </w:t>
      </w:r>
      <w:r w:rsidR="00237566">
        <w:rPr>
          <w:iCs/>
          <w:lang w:val="en-US"/>
        </w:rPr>
        <w:t xml:space="preserve">To </w:t>
      </w:r>
      <w:r w:rsidR="008177C7">
        <w:rPr>
          <w:iCs/>
          <w:lang w:val="en-US"/>
        </w:rPr>
        <w:t>standardize</w:t>
      </w:r>
      <w:r w:rsidR="00237566">
        <w:rPr>
          <w:iCs/>
          <w:lang w:val="en-US"/>
        </w:rPr>
        <w:t xml:space="preserve"> the risk score, w</w:t>
      </w:r>
      <w:r w:rsidR="00402D4E">
        <w:rPr>
          <w:iCs/>
          <w:lang w:val="en-US"/>
        </w:rPr>
        <w:t xml:space="preserve">e </w:t>
      </w:r>
      <w:r w:rsidR="00AF4207">
        <w:rPr>
          <w:iCs/>
          <w:lang w:val="en-US"/>
        </w:rPr>
        <w:t>divi</w:t>
      </w:r>
      <w:r w:rsidR="00402D4E">
        <w:rPr>
          <w:iCs/>
          <w:lang w:val="en-US"/>
        </w:rPr>
        <w:t>de</w:t>
      </w:r>
      <w:r>
        <w:rPr>
          <w:iCs/>
          <w:lang w:val="en-US"/>
        </w:rPr>
        <w:t xml:space="preserve">d </w:t>
      </w:r>
      <w:r w:rsidR="00C35FF0">
        <w:rPr>
          <w:iCs/>
          <w:lang w:val="en-US"/>
        </w:rPr>
        <w:t>each benchmark MSA’s risk score by the average MD risk score</w:t>
      </w:r>
      <w:r w:rsidR="00237566">
        <w:rPr>
          <w:iCs/>
          <w:lang w:val="en-US"/>
        </w:rPr>
        <w:t xml:space="preserve"> across the state, weighted by ZIP-level membership</w:t>
      </w:r>
      <w:r w:rsidR="00C35FF0">
        <w:rPr>
          <w:iCs/>
          <w:lang w:val="en-US"/>
        </w:rPr>
        <w:t>.</w:t>
      </w:r>
      <w:r w:rsidR="00237566">
        <w:rPr>
          <w:iCs/>
          <w:lang w:val="en-US"/>
        </w:rPr>
        <w:t xml:space="preserve"> The average MD risk score in 201</w:t>
      </w:r>
      <w:r w:rsidR="00850819">
        <w:rPr>
          <w:iCs/>
          <w:lang w:val="en-US"/>
        </w:rPr>
        <w:t>8</w:t>
      </w:r>
      <w:r w:rsidR="00237566">
        <w:rPr>
          <w:iCs/>
          <w:lang w:val="en-US"/>
        </w:rPr>
        <w:t xml:space="preserve"> was </w:t>
      </w:r>
      <w:r w:rsidR="00237566" w:rsidRPr="00237566">
        <w:rPr>
          <w:iCs/>
          <w:lang w:val="en-US"/>
        </w:rPr>
        <w:t>1.</w:t>
      </w:r>
      <w:r w:rsidR="00850819" w:rsidRPr="00237566">
        <w:rPr>
          <w:iCs/>
          <w:lang w:val="en-US"/>
        </w:rPr>
        <w:t>3</w:t>
      </w:r>
      <w:r w:rsidR="00850819">
        <w:rPr>
          <w:iCs/>
          <w:lang w:val="en-US"/>
        </w:rPr>
        <w:t>68</w:t>
      </w:r>
      <w:r w:rsidR="00237566">
        <w:rPr>
          <w:iCs/>
          <w:lang w:val="en-US"/>
        </w:rPr>
        <w:t>.</w:t>
      </w:r>
      <w:r w:rsidR="00C35FF0">
        <w:rPr>
          <w:iCs/>
          <w:lang w:val="en-US"/>
        </w:rPr>
        <w:t xml:space="preserve"> We then divide</w:t>
      </w:r>
      <w:r w:rsidR="0081257E">
        <w:rPr>
          <w:iCs/>
          <w:lang w:val="en-US"/>
        </w:rPr>
        <w:t>d</w:t>
      </w:r>
      <w:r w:rsidR="00C35FF0">
        <w:rPr>
          <w:iCs/>
          <w:lang w:val="en-US"/>
        </w:rPr>
        <w:t xml:space="preserve"> total PMPM allowed charges </w:t>
      </w:r>
      <w:r w:rsidR="00402D4E">
        <w:rPr>
          <w:iCs/>
          <w:lang w:val="en-US"/>
        </w:rPr>
        <w:t xml:space="preserve">and total PMPM RVUs </w:t>
      </w:r>
      <w:r w:rsidR="00C35FF0">
        <w:rPr>
          <w:iCs/>
          <w:lang w:val="en-US"/>
        </w:rPr>
        <w:t>by</w:t>
      </w:r>
      <w:r w:rsidR="00237566">
        <w:rPr>
          <w:iCs/>
          <w:lang w:val="en-US"/>
        </w:rPr>
        <w:t xml:space="preserve"> each region’s</w:t>
      </w:r>
      <w:r w:rsidR="008177C7">
        <w:rPr>
          <w:iCs/>
          <w:lang w:val="en-US"/>
        </w:rPr>
        <w:t xml:space="preserve"> standardized</w:t>
      </w:r>
      <w:r w:rsidR="00237566">
        <w:rPr>
          <w:iCs/>
          <w:lang w:val="en-US"/>
        </w:rPr>
        <w:t xml:space="preserve"> </w:t>
      </w:r>
      <w:r w:rsidR="00C35FF0">
        <w:rPr>
          <w:iCs/>
          <w:lang w:val="en-US"/>
        </w:rPr>
        <w:t>risk score</w:t>
      </w:r>
      <w:r w:rsidR="00A77BD3">
        <w:rPr>
          <w:iCs/>
          <w:lang w:val="en-US"/>
        </w:rPr>
        <w:t xml:space="preserve"> and benefit-level</w:t>
      </w:r>
      <w:r w:rsidR="00C35FF0">
        <w:rPr>
          <w:iCs/>
          <w:lang w:val="en-US"/>
        </w:rPr>
        <w:t>.</w:t>
      </w:r>
      <w:r w:rsidR="009930EC">
        <w:rPr>
          <w:rStyle w:val="FootnoteReference"/>
        </w:rPr>
        <w:footnoteReference w:id="3"/>
      </w:r>
      <w:r w:rsidR="009930EC">
        <w:t xml:space="preserve"> </w:t>
      </w:r>
      <w:r w:rsidR="00C35FF0">
        <w:rPr>
          <w:iCs/>
          <w:lang w:val="en-US"/>
        </w:rPr>
        <w:t xml:space="preserve"> </w:t>
      </w:r>
      <w:r w:rsidR="00402D4E">
        <w:t>Next, we</w:t>
      </w:r>
      <w:r>
        <w:t xml:space="preserve"> followed th</w:t>
      </w:r>
      <w:r w:rsidR="00402D4E">
        <w:t>e</w:t>
      </w:r>
      <w:r w:rsidR="0055730E">
        <w:t xml:space="preserve"> </w:t>
      </w:r>
      <w:r>
        <w:t>steps below</w:t>
      </w:r>
      <w:r w:rsidR="0055730E">
        <w:t xml:space="preserve"> </w:t>
      </w:r>
      <w:r w:rsidR="00402D4E">
        <w:t xml:space="preserve">to </w:t>
      </w:r>
      <w:r w:rsidR="00237566">
        <w:t xml:space="preserve">further adjust the </w:t>
      </w:r>
      <w:r w:rsidR="00402D4E">
        <w:t>risk score</w:t>
      </w:r>
      <w:r w:rsidR="00A77BD3">
        <w:t xml:space="preserve"> and benefit-level </w:t>
      </w:r>
      <w:r w:rsidR="00237566">
        <w:t>normalized</w:t>
      </w:r>
      <w:r w:rsidR="00402D4E">
        <w:t xml:space="preserve"> </w:t>
      </w:r>
      <w:r w:rsidR="0055730E">
        <w:t>allowed charges</w:t>
      </w:r>
      <w:r>
        <w:t xml:space="preserve">. No further adjustments were made to RVUs based on the regressions. </w:t>
      </w:r>
    </w:p>
    <w:p w14:paraId="74524A01" w14:textId="0D9AAD4A" w:rsidR="00EE082A" w:rsidRPr="00FB004C" w:rsidRDefault="0055730E" w:rsidP="005901C2">
      <w:pPr>
        <w:pStyle w:val="BodyText"/>
        <w:numPr>
          <w:ilvl w:val="0"/>
          <w:numId w:val="23"/>
        </w:numPr>
        <w:rPr>
          <w:i/>
          <w:u w:val="single"/>
          <w:lang w:val="en-US"/>
        </w:rPr>
      </w:pPr>
      <w:r>
        <w:rPr>
          <w:iCs/>
          <w:lang w:val="en-US"/>
        </w:rPr>
        <w:t>Regress</w:t>
      </w:r>
      <w:r w:rsidR="0081257E">
        <w:rPr>
          <w:iCs/>
          <w:lang w:val="en-US"/>
        </w:rPr>
        <w:t>ed</w:t>
      </w:r>
      <w:r>
        <w:rPr>
          <w:iCs/>
          <w:lang w:val="en-US"/>
        </w:rPr>
        <w:t xml:space="preserve"> total </w:t>
      </w:r>
      <w:r w:rsidR="00C35FF0">
        <w:rPr>
          <w:iCs/>
          <w:lang w:val="en-US"/>
        </w:rPr>
        <w:t xml:space="preserve">risk score adjusted </w:t>
      </w:r>
      <w:r>
        <w:rPr>
          <w:iCs/>
          <w:lang w:val="en-US"/>
        </w:rPr>
        <w:t xml:space="preserve">PMPM allowed charges on median income, the deep poverty percentage, and the benefit-level adjustment factor. The regression </w:t>
      </w:r>
      <w:r w:rsidR="0081257E">
        <w:rPr>
          <w:iCs/>
          <w:lang w:val="en-US"/>
        </w:rPr>
        <w:t>was</w:t>
      </w:r>
      <w:r>
        <w:rPr>
          <w:iCs/>
          <w:lang w:val="en-US"/>
        </w:rPr>
        <w:t xml:space="preserve"> conducted on only benchmark MSAs.</w:t>
      </w:r>
      <w:r w:rsidR="00C210F0">
        <w:rPr>
          <w:iCs/>
          <w:lang w:val="en-US"/>
        </w:rPr>
        <w:t xml:space="preserve"> </w:t>
      </w:r>
      <w:r w:rsidR="00EE082A" w:rsidRPr="00EE082A">
        <w:rPr>
          <w:b/>
          <w:bCs/>
          <w:iCs/>
          <w:lang w:val="en-US"/>
        </w:rPr>
        <w:t xml:space="preserve">Exhibit 6 </w:t>
      </w:r>
      <w:r w:rsidR="00EE082A">
        <w:rPr>
          <w:iCs/>
          <w:lang w:val="en-US"/>
        </w:rPr>
        <w:t xml:space="preserve">provides the regression coefficients. </w:t>
      </w:r>
    </w:p>
    <w:p w14:paraId="0CB36B1B" w14:textId="0066ED8E" w:rsidR="008F2B73" w:rsidRPr="00EE082A" w:rsidRDefault="008F2B73" w:rsidP="00EE082A">
      <w:pPr>
        <w:pStyle w:val="Caption"/>
      </w:pPr>
      <w:r>
        <w:t>Exhibit 6.</w:t>
      </w:r>
      <w:r>
        <w:tab/>
      </w:r>
      <w:r w:rsidR="00EE082A">
        <w:t xml:space="preserve">Regression </w:t>
      </w:r>
      <w:r w:rsidR="008C0A78">
        <w:t xml:space="preserve">of Allowed Per Member Per Month Charges on Normalization Factors </w:t>
      </w:r>
      <w:r w:rsidR="00EE082A">
        <w:t>Using Benchmark MSAs</w:t>
      </w:r>
      <w:r w:rsidR="00850819">
        <w:t>, 2018</w:t>
      </w:r>
      <w:r>
        <w:t xml:space="preserve"> </w:t>
      </w:r>
    </w:p>
    <w:tbl>
      <w:tblPr>
        <w:tblStyle w:val="AbtFinal"/>
        <w:tblW w:w="0" w:type="auto"/>
        <w:tblLook w:val="04A0" w:firstRow="1" w:lastRow="0" w:firstColumn="1" w:lastColumn="0" w:noHBand="0" w:noVBand="1"/>
      </w:tblPr>
      <w:tblGrid>
        <w:gridCol w:w="2060"/>
        <w:gridCol w:w="4325"/>
        <w:gridCol w:w="1080"/>
        <w:gridCol w:w="1170"/>
        <w:gridCol w:w="715"/>
      </w:tblGrid>
      <w:tr w:rsidR="00646EEB" w14:paraId="33C9D99A" w14:textId="77777777" w:rsidTr="00402D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0" w:type="dxa"/>
          </w:tcPr>
          <w:p w14:paraId="2EDFCFF0" w14:textId="2CEAFD32" w:rsidR="00646EEB" w:rsidRPr="00EE082A" w:rsidRDefault="00EE082A" w:rsidP="008F2B73">
            <w:pPr>
              <w:pStyle w:val="BodyText"/>
              <w:spacing w:after="0"/>
              <w:rPr>
                <w:iCs/>
                <w:lang w:val="en-US"/>
              </w:rPr>
            </w:pPr>
            <w:r w:rsidRPr="00EE082A">
              <w:rPr>
                <w:iCs/>
                <w:lang w:val="en-US"/>
              </w:rPr>
              <w:t>Covariates</w:t>
            </w:r>
          </w:p>
        </w:tc>
        <w:tc>
          <w:tcPr>
            <w:tcW w:w="4325" w:type="dxa"/>
          </w:tcPr>
          <w:p w14:paraId="5B38E59B" w14:textId="30DB4D4C" w:rsidR="00646EEB" w:rsidRPr="00646EEB" w:rsidRDefault="00646EEB" w:rsidP="008F2B73">
            <w:pPr>
              <w:pStyle w:val="BodyText"/>
              <w:spacing w:after="0"/>
              <w:cnfStyle w:val="100000000000" w:firstRow="1" w:lastRow="0" w:firstColumn="0" w:lastColumn="0" w:oddVBand="0" w:evenVBand="0" w:oddHBand="0" w:evenHBand="0" w:firstRowFirstColumn="0" w:firstRowLastColumn="0" w:lastRowFirstColumn="0" w:lastRowLastColumn="0"/>
              <w:rPr>
                <w:iCs/>
                <w:lang w:val="en-US"/>
              </w:rPr>
            </w:pPr>
            <w:r w:rsidRPr="00646EEB">
              <w:rPr>
                <w:iCs/>
                <w:lang w:val="en-US"/>
              </w:rPr>
              <w:t>Coefficient</w:t>
            </w:r>
          </w:p>
        </w:tc>
        <w:tc>
          <w:tcPr>
            <w:tcW w:w="1080" w:type="dxa"/>
          </w:tcPr>
          <w:p w14:paraId="30CD46B9" w14:textId="28B87B9B" w:rsidR="00646EEB" w:rsidRPr="00646EEB" w:rsidRDefault="00646EEB" w:rsidP="008F2B73">
            <w:pPr>
              <w:pStyle w:val="BodyText"/>
              <w:spacing w:after="0"/>
              <w:cnfStyle w:val="100000000000" w:firstRow="1" w:lastRow="0" w:firstColumn="0" w:lastColumn="0" w:oddVBand="0" w:evenVBand="0" w:oddHBand="0" w:evenHBand="0" w:firstRowFirstColumn="0" w:firstRowLastColumn="0" w:lastRowFirstColumn="0" w:lastRowLastColumn="0"/>
              <w:rPr>
                <w:iCs/>
                <w:lang w:val="en-US"/>
              </w:rPr>
            </w:pPr>
            <w:r w:rsidRPr="00646EEB">
              <w:rPr>
                <w:iCs/>
                <w:lang w:val="en-US"/>
              </w:rPr>
              <w:t>P-value</w:t>
            </w:r>
          </w:p>
        </w:tc>
        <w:tc>
          <w:tcPr>
            <w:tcW w:w="1170" w:type="dxa"/>
          </w:tcPr>
          <w:p w14:paraId="4E1EF1C3" w14:textId="292EC56F" w:rsidR="00646EEB" w:rsidRPr="00646EEB" w:rsidRDefault="00646EEB" w:rsidP="008F2B73">
            <w:pPr>
              <w:pStyle w:val="BodyText"/>
              <w:spacing w:after="0"/>
              <w:cnfStyle w:val="100000000000" w:firstRow="1" w:lastRow="0" w:firstColumn="0" w:lastColumn="0" w:oddVBand="0" w:evenVBand="0" w:oddHBand="0" w:evenHBand="0" w:firstRowFirstColumn="0" w:firstRowLastColumn="0" w:lastRowFirstColumn="0" w:lastRowLastColumn="0"/>
              <w:rPr>
                <w:iCs/>
                <w:lang w:val="en-US"/>
              </w:rPr>
            </w:pPr>
            <w:r w:rsidRPr="00646EEB">
              <w:rPr>
                <w:iCs/>
                <w:lang w:val="en-US"/>
              </w:rPr>
              <w:t>R-squared</w:t>
            </w:r>
          </w:p>
        </w:tc>
        <w:tc>
          <w:tcPr>
            <w:tcW w:w="715" w:type="dxa"/>
          </w:tcPr>
          <w:p w14:paraId="142D956B" w14:textId="0259030D" w:rsidR="00646EEB" w:rsidRPr="00646EEB" w:rsidRDefault="00646EEB" w:rsidP="008F2B73">
            <w:pPr>
              <w:pStyle w:val="BodyText"/>
              <w:spacing w:after="0"/>
              <w:cnfStyle w:val="100000000000" w:firstRow="1" w:lastRow="0" w:firstColumn="0" w:lastColumn="0" w:oddVBand="0" w:evenVBand="0" w:oddHBand="0" w:evenHBand="0" w:firstRowFirstColumn="0" w:firstRowLastColumn="0" w:lastRowFirstColumn="0" w:lastRowLastColumn="0"/>
              <w:rPr>
                <w:iCs/>
                <w:lang w:val="en-US"/>
              </w:rPr>
            </w:pPr>
            <w:r w:rsidRPr="00646EEB">
              <w:rPr>
                <w:iCs/>
                <w:lang w:val="en-US"/>
              </w:rPr>
              <w:t>N</w:t>
            </w:r>
          </w:p>
        </w:tc>
      </w:tr>
      <w:tr w:rsidR="00646EEB" w14:paraId="1F916E37" w14:textId="77777777" w:rsidTr="00402D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0" w:type="dxa"/>
          </w:tcPr>
          <w:p w14:paraId="61ADB778" w14:textId="60A8DEE0" w:rsidR="00646EEB" w:rsidRPr="00646EEB" w:rsidRDefault="00646EEB" w:rsidP="008F2B73">
            <w:pPr>
              <w:pStyle w:val="BodyText"/>
              <w:spacing w:after="0"/>
              <w:rPr>
                <w:iCs/>
                <w:lang w:val="en-US"/>
              </w:rPr>
            </w:pPr>
            <w:r w:rsidRPr="00646EEB">
              <w:rPr>
                <w:iCs/>
                <w:lang w:val="en-US"/>
              </w:rPr>
              <w:t>Median income</w:t>
            </w:r>
          </w:p>
        </w:tc>
        <w:tc>
          <w:tcPr>
            <w:tcW w:w="4325" w:type="dxa"/>
          </w:tcPr>
          <w:p w14:paraId="60645E38" w14:textId="005CC3A0" w:rsidR="00646EEB" w:rsidRPr="008F2B73" w:rsidRDefault="00402D4E" w:rsidP="00402D4E">
            <w:pPr>
              <w:pStyle w:val="BodyText"/>
              <w:spacing w:after="0"/>
              <w:cnfStyle w:val="000000100000" w:firstRow="0" w:lastRow="0" w:firstColumn="0" w:lastColumn="0" w:oddVBand="0" w:evenVBand="0" w:oddHBand="1" w:evenHBand="0" w:firstRowFirstColumn="0" w:firstRowLastColumn="0" w:lastRowFirstColumn="0" w:lastRowLastColumn="0"/>
              <w:rPr>
                <w:iCs/>
                <w:lang w:val="en-US"/>
              </w:rPr>
            </w:pPr>
            <w:r>
              <w:rPr>
                <w:iCs/>
                <w:lang w:val="en-US"/>
              </w:rPr>
              <w:t>$</w:t>
            </w:r>
            <w:r w:rsidR="008F2B73">
              <w:rPr>
                <w:iCs/>
                <w:lang w:val="en-US"/>
              </w:rPr>
              <w:t>2.</w:t>
            </w:r>
            <w:r w:rsidR="00850819">
              <w:rPr>
                <w:iCs/>
                <w:lang w:val="en-US"/>
              </w:rPr>
              <w:t>28</w:t>
            </w:r>
            <w:r>
              <w:rPr>
                <w:iCs/>
                <w:lang w:val="en-US"/>
              </w:rPr>
              <w:t xml:space="preserve"> per $1</w:t>
            </w:r>
            <w:r w:rsidR="00FB004C">
              <w:rPr>
                <w:iCs/>
                <w:lang w:val="en-US"/>
              </w:rPr>
              <w:t>,000</w:t>
            </w:r>
            <w:r>
              <w:rPr>
                <w:iCs/>
                <w:lang w:val="en-US"/>
              </w:rPr>
              <w:t xml:space="preserve"> increase in median income</w:t>
            </w:r>
          </w:p>
        </w:tc>
        <w:tc>
          <w:tcPr>
            <w:tcW w:w="1080" w:type="dxa"/>
          </w:tcPr>
          <w:p w14:paraId="057F6C34" w14:textId="01C981AF" w:rsidR="00646EEB" w:rsidRPr="008F2B73" w:rsidRDefault="008F2B73" w:rsidP="008F2B73">
            <w:pPr>
              <w:pStyle w:val="BodyText"/>
              <w:spacing w:after="0"/>
              <w:jc w:val="center"/>
              <w:cnfStyle w:val="000000100000" w:firstRow="0" w:lastRow="0" w:firstColumn="0" w:lastColumn="0" w:oddVBand="0" w:evenVBand="0" w:oddHBand="1" w:evenHBand="0" w:firstRowFirstColumn="0" w:firstRowLastColumn="0" w:lastRowFirstColumn="0" w:lastRowLastColumn="0"/>
              <w:rPr>
                <w:iCs/>
                <w:lang w:val="en-US"/>
              </w:rPr>
            </w:pPr>
            <w:r w:rsidRPr="008F2B73">
              <w:rPr>
                <w:iCs/>
                <w:lang w:val="en-US"/>
              </w:rPr>
              <w:t>0.</w:t>
            </w:r>
            <w:r>
              <w:rPr>
                <w:iCs/>
                <w:lang w:val="en-US"/>
              </w:rPr>
              <w:t>00</w:t>
            </w:r>
            <w:r w:rsidR="00850819">
              <w:rPr>
                <w:iCs/>
                <w:lang w:val="en-US"/>
              </w:rPr>
              <w:t>0</w:t>
            </w:r>
          </w:p>
        </w:tc>
        <w:tc>
          <w:tcPr>
            <w:tcW w:w="1170" w:type="dxa"/>
          </w:tcPr>
          <w:p w14:paraId="0466C2EA" w14:textId="2A80BEAA" w:rsidR="00646EEB" w:rsidRPr="008F2B73" w:rsidRDefault="008F2B73" w:rsidP="008F2B73">
            <w:pPr>
              <w:pStyle w:val="BodyText"/>
              <w:spacing w:after="0"/>
              <w:jc w:val="center"/>
              <w:cnfStyle w:val="000000100000" w:firstRow="0" w:lastRow="0" w:firstColumn="0" w:lastColumn="0" w:oddVBand="0" w:evenVBand="0" w:oddHBand="1" w:evenHBand="0" w:firstRowFirstColumn="0" w:firstRowLastColumn="0" w:lastRowFirstColumn="0" w:lastRowLastColumn="0"/>
              <w:rPr>
                <w:iCs/>
                <w:lang w:val="en-US"/>
              </w:rPr>
            </w:pPr>
            <w:r w:rsidRPr="008F2B73">
              <w:rPr>
                <w:iCs/>
                <w:lang w:val="en-US"/>
              </w:rPr>
              <w:t>0.</w:t>
            </w:r>
            <w:r w:rsidR="00850819">
              <w:rPr>
                <w:iCs/>
                <w:lang w:val="en-US"/>
              </w:rPr>
              <w:t>2799</w:t>
            </w:r>
          </w:p>
        </w:tc>
        <w:tc>
          <w:tcPr>
            <w:tcW w:w="715" w:type="dxa"/>
          </w:tcPr>
          <w:p w14:paraId="75502B13" w14:textId="1C1951DA" w:rsidR="00646EEB" w:rsidRPr="008F2B73" w:rsidRDefault="008F2B73" w:rsidP="008F2B73">
            <w:pPr>
              <w:pStyle w:val="BodyText"/>
              <w:spacing w:after="0"/>
              <w:jc w:val="center"/>
              <w:cnfStyle w:val="000000100000" w:firstRow="0" w:lastRow="0" w:firstColumn="0" w:lastColumn="0" w:oddVBand="0" w:evenVBand="0" w:oddHBand="1" w:evenHBand="0" w:firstRowFirstColumn="0" w:firstRowLastColumn="0" w:lastRowFirstColumn="0" w:lastRowLastColumn="0"/>
              <w:rPr>
                <w:iCs/>
                <w:lang w:val="en-US"/>
              </w:rPr>
            </w:pPr>
            <w:r w:rsidRPr="008F2B73">
              <w:rPr>
                <w:iCs/>
                <w:lang w:val="en-US"/>
              </w:rPr>
              <w:t>56</w:t>
            </w:r>
          </w:p>
        </w:tc>
      </w:tr>
      <w:tr w:rsidR="00646EEB" w14:paraId="2E57E167" w14:textId="77777777" w:rsidTr="00402D4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0" w:type="dxa"/>
          </w:tcPr>
          <w:p w14:paraId="293E06A1" w14:textId="4D7AEF4A" w:rsidR="00646EEB" w:rsidRPr="00646EEB" w:rsidRDefault="00646EEB" w:rsidP="008F2B73">
            <w:pPr>
              <w:pStyle w:val="BodyText"/>
              <w:spacing w:after="0"/>
              <w:rPr>
                <w:iCs/>
                <w:lang w:val="en-US"/>
              </w:rPr>
            </w:pPr>
            <w:r>
              <w:rPr>
                <w:iCs/>
                <w:lang w:val="en-US"/>
              </w:rPr>
              <w:t>Deep poverty percent</w:t>
            </w:r>
          </w:p>
        </w:tc>
        <w:tc>
          <w:tcPr>
            <w:tcW w:w="4325" w:type="dxa"/>
          </w:tcPr>
          <w:p w14:paraId="4B910F60" w14:textId="1B87387E" w:rsidR="00646EEB" w:rsidRPr="008F2B73" w:rsidRDefault="00402D4E" w:rsidP="00402D4E">
            <w:pPr>
              <w:pStyle w:val="BodyText"/>
              <w:spacing w:after="0"/>
              <w:cnfStyle w:val="000000010000" w:firstRow="0" w:lastRow="0" w:firstColumn="0" w:lastColumn="0" w:oddVBand="0" w:evenVBand="0" w:oddHBand="0" w:evenHBand="1" w:firstRowFirstColumn="0" w:firstRowLastColumn="0" w:lastRowFirstColumn="0" w:lastRowLastColumn="0"/>
              <w:rPr>
                <w:iCs/>
                <w:lang w:val="en-US"/>
              </w:rPr>
            </w:pPr>
            <w:r>
              <w:rPr>
                <w:iCs/>
                <w:lang w:val="en-US"/>
              </w:rPr>
              <w:t>$</w:t>
            </w:r>
            <w:r w:rsidR="00850819">
              <w:rPr>
                <w:iCs/>
                <w:lang w:val="en-US"/>
              </w:rPr>
              <w:t>10.50</w:t>
            </w:r>
            <w:r>
              <w:rPr>
                <w:iCs/>
                <w:lang w:val="en-US"/>
              </w:rPr>
              <w:t xml:space="preserve"> per 1 percentage point increase in deep poverty</w:t>
            </w:r>
          </w:p>
        </w:tc>
        <w:tc>
          <w:tcPr>
            <w:tcW w:w="1080" w:type="dxa"/>
          </w:tcPr>
          <w:p w14:paraId="1707BB41" w14:textId="2D8F0BE5" w:rsidR="00646EEB" w:rsidRPr="008F2B73" w:rsidRDefault="008F2B73" w:rsidP="008F2B73">
            <w:pPr>
              <w:pStyle w:val="BodyText"/>
              <w:spacing w:after="0"/>
              <w:jc w:val="center"/>
              <w:cnfStyle w:val="000000010000" w:firstRow="0" w:lastRow="0" w:firstColumn="0" w:lastColumn="0" w:oddVBand="0" w:evenVBand="0" w:oddHBand="0" w:evenHBand="1" w:firstRowFirstColumn="0" w:firstRowLastColumn="0" w:lastRowFirstColumn="0" w:lastRowLastColumn="0"/>
              <w:rPr>
                <w:iCs/>
                <w:lang w:val="en-US"/>
              </w:rPr>
            </w:pPr>
            <w:r>
              <w:rPr>
                <w:iCs/>
                <w:lang w:val="en-US"/>
              </w:rPr>
              <w:t>0.</w:t>
            </w:r>
            <w:r w:rsidR="00850819">
              <w:rPr>
                <w:iCs/>
                <w:lang w:val="en-US"/>
              </w:rPr>
              <w:t>087</w:t>
            </w:r>
          </w:p>
        </w:tc>
        <w:tc>
          <w:tcPr>
            <w:tcW w:w="1170" w:type="dxa"/>
            <w:shd w:val="clear" w:color="auto" w:fill="D9D9D9" w:themeFill="background1" w:themeFillShade="D9"/>
          </w:tcPr>
          <w:p w14:paraId="1EA77D3D" w14:textId="77777777" w:rsidR="00646EEB" w:rsidRDefault="00646EEB" w:rsidP="008F2B73">
            <w:pPr>
              <w:pStyle w:val="BodyText"/>
              <w:spacing w:after="0"/>
              <w:jc w:val="center"/>
              <w:cnfStyle w:val="000000010000" w:firstRow="0" w:lastRow="0" w:firstColumn="0" w:lastColumn="0" w:oddVBand="0" w:evenVBand="0" w:oddHBand="0" w:evenHBand="1" w:firstRowFirstColumn="0" w:firstRowLastColumn="0" w:lastRowFirstColumn="0" w:lastRowLastColumn="0"/>
              <w:rPr>
                <w:i/>
                <w:u w:val="single"/>
                <w:lang w:val="en-US"/>
              </w:rPr>
            </w:pPr>
          </w:p>
        </w:tc>
        <w:tc>
          <w:tcPr>
            <w:tcW w:w="715" w:type="dxa"/>
            <w:shd w:val="clear" w:color="auto" w:fill="D9D9D9" w:themeFill="background1" w:themeFillShade="D9"/>
          </w:tcPr>
          <w:p w14:paraId="1A7C51B9" w14:textId="77777777" w:rsidR="00646EEB" w:rsidRDefault="00646EEB" w:rsidP="008F2B73">
            <w:pPr>
              <w:pStyle w:val="BodyText"/>
              <w:spacing w:after="0"/>
              <w:jc w:val="center"/>
              <w:cnfStyle w:val="000000010000" w:firstRow="0" w:lastRow="0" w:firstColumn="0" w:lastColumn="0" w:oddVBand="0" w:evenVBand="0" w:oddHBand="0" w:evenHBand="1" w:firstRowFirstColumn="0" w:firstRowLastColumn="0" w:lastRowFirstColumn="0" w:lastRowLastColumn="0"/>
              <w:rPr>
                <w:i/>
                <w:u w:val="single"/>
                <w:lang w:val="en-US"/>
              </w:rPr>
            </w:pPr>
          </w:p>
        </w:tc>
      </w:tr>
      <w:tr w:rsidR="00646EEB" w14:paraId="296C51C1" w14:textId="77777777" w:rsidTr="00402D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0" w:type="dxa"/>
          </w:tcPr>
          <w:p w14:paraId="0F7D2DD3" w14:textId="534E9010" w:rsidR="00646EEB" w:rsidRPr="008F2B73" w:rsidRDefault="008F2B73" w:rsidP="008F2B73">
            <w:pPr>
              <w:pStyle w:val="BodyText"/>
              <w:spacing w:after="0"/>
              <w:rPr>
                <w:iCs/>
                <w:lang w:val="en-US"/>
              </w:rPr>
            </w:pPr>
            <w:r>
              <w:rPr>
                <w:iCs/>
                <w:lang w:val="en-US"/>
              </w:rPr>
              <w:t>Constant</w:t>
            </w:r>
          </w:p>
        </w:tc>
        <w:tc>
          <w:tcPr>
            <w:tcW w:w="4325" w:type="dxa"/>
          </w:tcPr>
          <w:p w14:paraId="5053B4A5" w14:textId="63C82D07" w:rsidR="00646EEB" w:rsidRPr="008F2B73" w:rsidRDefault="008F2B73" w:rsidP="00402D4E">
            <w:pPr>
              <w:pStyle w:val="BodyText"/>
              <w:spacing w:after="0"/>
              <w:cnfStyle w:val="000000100000" w:firstRow="0" w:lastRow="0" w:firstColumn="0" w:lastColumn="0" w:oddVBand="0" w:evenVBand="0" w:oddHBand="1" w:evenHBand="0" w:firstRowFirstColumn="0" w:firstRowLastColumn="0" w:lastRowFirstColumn="0" w:lastRowLastColumn="0"/>
              <w:rPr>
                <w:iCs/>
                <w:lang w:val="en-US"/>
              </w:rPr>
            </w:pPr>
            <w:r w:rsidRPr="008F2B73">
              <w:rPr>
                <w:iCs/>
                <w:lang w:val="en-US"/>
              </w:rPr>
              <w:t>-</w:t>
            </w:r>
            <w:r w:rsidR="00AB34A0">
              <w:rPr>
                <w:iCs/>
                <w:lang w:val="en-US"/>
              </w:rPr>
              <w:t>$</w:t>
            </w:r>
            <w:r w:rsidR="00850819">
              <w:rPr>
                <w:iCs/>
                <w:lang w:val="en-US"/>
              </w:rPr>
              <w:t>168.4</w:t>
            </w:r>
          </w:p>
        </w:tc>
        <w:tc>
          <w:tcPr>
            <w:tcW w:w="1080" w:type="dxa"/>
          </w:tcPr>
          <w:p w14:paraId="3646093D" w14:textId="11744169" w:rsidR="00646EEB" w:rsidRPr="008F2B73" w:rsidRDefault="008F2B73" w:rsidP="008F2B73">
            <w:pPr>
              <w:pStyle w:val="BodyText"/>
              <w:spacing w:after="0"/>
              <w:jc w:val="center"/>
              <w:cnfStyle w:val="000000100000" w:firstRow="0" w:lastRow="0" w:firstColumn="0" w:lastColumn="0" w:oddVBand="0" w:evenVBand="0" w:oddHBand="1" w:evenHBand="0" w:firstRowFirstColumn="0" w:firstRowLastColumn="0" w:lastRowFirstColumn="0" w:lastRowLastColumn="0"/>
              <w:rPr>
                <w:iCs/>
                <w:lang w:val="en-US"/>
              </w:rPr>
            </w:pPr>
            <w:r>
              <w:rPr>
                <w:iCs/>
                <w:lang w:val="en-US"/>
              </w:rPr>
              <w:t>0.</w:t>
            </w:r>
            <w:r w:rsidR="00850819">
              <w:rPr>
                <w:iCs/>
                <w:lang w:val="en-US"/>
              </w:rPr>
              <w:t>013</w:t>
            </w:r>
          </w:p>
        </w:tc>
        <w:tc>
          <w:tcPr>
            <w:tcW w:w="1170" w:type="dxa"/>
            <w:shd w:val="clear" w:color="auto" w:fill="D9D9D9" w:themeFill="background1" w:themeFillShade="D9"/>
          </w:tcPr>
          <w:p w14:paraId="37DD4732" w14:textId="77777777" w:rsidR="00646EEB" w:rsidRDefault="00646EEB" w:rsidP="008F2B73">
            <w:pPr>
              <w:pStyle w:val="BodyText"/>
              <w:spacing w:after="0"/>
              <w:jc w:val="center"/>
              <w:cnfStyle w:val="000000100000" w:firstRow="0" w:lastRow="0" w:firstColumn="0" w:lastColumn="0" w:oddVBand="0" w:evenVBand="0" w:oddHBand="1" w:evenHBand="0" w:firstRowFirstColumn="0" w:firstRowLastColumn="0" w:lastRowFirstColumn="0" w:lastRowLastColumn="0"/>
              <w:rPr>
                <w:i/>
                <w:u w:val="single"/>
                <w:lang w:val="en-US"/>
              </w:rPr>
            </w:pPr>
          </w:p>
        </w:tc>
        <w:tc>
          <w:tcPr>
            <w:tcW w:w="715" w:type="dxa"/>
            <w:shd w:val="clear" w:color="auto" w:fill="D9D9D9" w:themeFill="background1" w:themeFillShade="D9"/>
          </w:tcPr>
          <w:p w14:paraId="3F01216E" w14:textId="77777777" w:rsidR="00646EEB" w:rsidRDefault="00646EEB" w:rsidP="008F2B73">
            <w:pPr>
              <w:pStyle w:val="BodyText"/>
              <w:spacing w:after="0"/>
              <w:jc w:val="center"/>
              <w:cnfStyle w:val="000000100000" w:firstRow="0" w:lastRow="0" w:firstColumn="0" w:lastColumn="0" w:oddVBand="0" w:evenVBand="0" w:oddHBand="1" w:evenHBand="0" w:firstRowFirstColumn="0" w:firstRowLastColumn="0" w:lastRowFirstColumn="0" w:lastRowLastColumn="0"/>
              <w:rPr>
                <w:i/>
                <w:u w:val="single"/>
                <w:lang w:val="en-US"/>
              </w:rPr>
            </w:pPr>
          </w:p>
        </w:tc>
      </w:tr>
    </w:tbl>
    <w:p w14:paraId="041B63B9" w14:textId="5391B682" w:rsidR="00646EEB" w:rsidRPr="005C13A5" w:rsidRDefault="00EE082A" w:rsidP="00EE082A">
      <w:pPr>
        <w:pStyle w:val="BodyText"/>
        <w:rPr>
          <w:rFonts w:ascii="Arial Narrow" w:hAnsi="Arial Narrow"/>
          <w:sz w:val="18"/>
          <w:szCs w:val="18"/>
          <w:lang w:val="en-US"/>
        </w:rPr>
      </w:pPr>
      <w:r w:rsidRPr="005C13A5">
        <w:rPr>
          <w:rFonts w:ascii="Arial Narrow" w:hAnsi="Arial Narrow"/>
          <w:b/>
          <w:bCs/>
          <w:sz w:val="18"/>
          <w:szCs w:val="18"/>
          <w:lang w:val="en-US"/>
        </w:rPr>
        <w:t>Note:</w:t>
      </w:r>
      <w:r w:rsidRPr="005C13A5">
        <w:rPr>
          <w:rFonts w:ascii="Arial Narrow" w:hAnsi="Arial Narrow"/>
          <w:sz w:val="18"/>
          <w:szCs w:val="18"/>
          <w:lang w:val="en-US"/>
        </w:rPr>
        <w:t xml:space="preserve"> </w:t>
      </w:r>
      <w:r w:rsidR="0081257E" w:rsidRPr="005C13A5">
        <w:rPr>
          <w:rFonts w:ascii="Arial Narrow" w:hAnsi="Arial Narrow"/>
          <w:sz w:val="18"/>
          <w:szCs w:val="18"/>
          <w:lang w:val="en-US"/>
        </w:rPr>
        <w:t>We conducted a l</w:t>
      </w:r>
      <w:r w:rsidRPr="005C13A5">
        <w:rPr>
          <w:rFonts w:ascii="Arial Narrow" w:hAnsi="Arial Narrow"/>
          <w:sz w:val="18"/>
          <w:szCs w:val="18"/>
          <w:lang w:val="en-US"/>
        </w:rPr>
        <w:t xml:space="preserve">inear regression of </w:t>
      </w:r>
      <w:r w:rsidR="008C0A78">
        <w:rPr>
          <w:rFonts w:ascii="Arial Narrow" w:hAnsi="Arial Narrow"/>
          <w:sz w:val="18"/>
          <w:szCs w:val="18"/>
          <w:lang w:val="en-US"/>
        </w:rPr>
        <w:t xml:space="preserve">risk score adjusted PMPM </w:t>
      </w:r>
      <w:r w:rsidRPr="005C13A5">
        <w:rPr>
          <w:rFonts w:ascii="Arial Narrow" w:hAnsi="Arial Narrow"/>
          <w:sz w:val="18"/>
          <w:szCs w:val="18"/>
          <w:lang w:val="en-US"/>
        </w:rPr>
        <w:t>allowed charges on covariates using de-duplicated benchmark MSAs.</w:t>
      </w:r>
    </w:p>
    <w:p w14:paraId="68967499" w14:textId="00F32B52" w:rsidR="0055730E" w:rsidRPr="000A0EC5" w:rsidRDefault="0055730E" w:rsidP="00DC5C53">
      <w:pPr>
        <w:pStyle w:val="BodyText"/>
        <w:numPr>
          <w:ilvl w:val="0"/>
          <w:numId w:val="23"/>
        </w:numPr>
        <w:rPr>
          <w:i/>
          <w:u w:val="single"/>
          <w:lang w:val="en-US"/>
        </w:rPr>
      </w:pPr>
      <w:r>
        <w:rPr>
          <w:iCs/>
          <w:lang w:val="en-US"/>
        </w:rPr>
        <w:t>Obtain</w:t>
      </w:r>
      <w:r w:rsidR="0081257E">
        <w:rPr>
          <w:iCs/>
          <w:lang w:val="en-US"/>
        </w:rPr>
        <w:t>ed</w:t>
      </w:r>
      <w:r>
        <w:rPr>
          <w:iCs/>
          <w:lang w:val="en-US"/>
        </w:rPr>
        <w:t xml:space="preserve"> an expected adjusted total PMPM allowed charges for each benchmark MSA as well as MD region</w:t>
      </w:r>
      <w:r w:rsidR="00F2557B">
        <w:rPr>
          <w:iCs/>
          <w:lang w:val="en-US"/>
        </w:rPr>
        <w:t xml:space="preserve"> from the regression results.</w:t>
      </w:r>
    </w:p>
    <w:p w14:paraId="16C8C85A" w14:textId="0BD19E4B" w:rsidR="000A0EC5" w:rsidRPr="0055730E" w:rsidRDefault="000A0EC5" w:rsidP="00DC5C53">
      <w:pPr>
        <w:pStyle w:val="BodyText"/>
        <w:numPr>
          <w:ilvl w:val="0"/>
          <w:numId w:val="23"/>
        </w:numPr>
        <w:rPr>
          <w:i/>
          <w:u w:val="single"/>
          <w:lang w:val="en-US"/>
        </w:rPr>
      </w:pPr>
      <w:r>
        <w:rPr>
          <w:iCs/>
          <w:lang w:val="en-US"/>
        </w:rPr>
        <w:lastRenderedPageBreak/>
        <w:t>Aggregate</w:t>
      </w:r>
      <w:r w:rsidR="0081257E">
        <w:rPr>
          <w:iCs/>
          <w:lang w:val="en-US"/>
        </w:rPr>
        <w:t>d</w:t>
      </w:r>
      <w:r>
        <w:rPr>
          <w:iCs/>
          <w:lang w:val="en-US"/>
        </w:rPr>
        <w:t xml:space="preserve"> benchmark MSAs to each MD region (20 per region) using a straight, unweighted average.</w:t>
      </w:r>
    </w:p>
    <w:p w14:paraId="67797BA9" w14:textId="03B24AE3" w:rsidR="00DC5C53" w:rsidRPr="00DC5C53" w:rsidRDefault="00DC5C53" w:rsidP="00DC5C53">
      <w:pPr>
        <w:pStyle w:val="BodyText"/>
        <w:numPr>
          <w:ilvl w:val="0"/>
          <w:numId w:val="23"/>
        </w:numPr>
        <w:rPr>
          <w:i/>
          <w:u w:val="single"/>
          <w:lang w:val="en-US"/>
        </w:rPr>
      </w:pPr>
      <w:r w:rsidRPr="00DC5C53">
        <w:rPr>
          <w:lang w:val="en-US"/>
        </w:rPr>
        <w:t>Calculate</w:t>
      </w:r>
      <w:r w:rsidR="0081257E">
        <w:rPr>
          <w:lang w:val="en-US"/>
        </w:rPr>
        <w:t>d</w:t>
      </w:r>
      <w:r w:rsidRPr="00DC5C53">
        <w:rPr>
          <w:lang w:val="en-US"/>
        </w:rPr>
        <w:t xml:space="preserve"> observed to expected ratios (O/E) for</w:t>
      </w:r>
      <w:r w:rsidR="0055730E">
        <w:rPr>
          <w:lang w:val="en-US"/>
        </w:rPr>
        <w:t xml:space="preserve"> each</w:t>
      </w:r>
      <w:r w:rsidRPr="00DC5C53">
        <w:rPr>
          <w:lang w:val="en-US"/>
        </w:rPr>
        <w:t xml:space="preserve"> benchmark MSAs</w:t>
      </w:r>
      <w:r w:rsidR="0055730E">
        <w:rPr>
          <w:lang w:val="en-US"/>
        </w:rPr>
        <w:t xml:space="preserve"> and MD region.</w:t>
      </w:r>
      <w:r w:rsidRPr="00DC5C53">
        <w:rPr>
          <w:lang w:val="en-US"/>
        </w:rPr>
        <w:t xml:space="preserve"> </w:t>
      </w:r>
    </w:p>
    <w:p w14:paraId="0897B778" w14:textId="32DF24BB" w:rsidR="00DC5C53" w:rsidRPr="00DC5C53" w:rsidRDefault="00DC5C53" w:rsidP="00DC5C53">
      <w:pPr>
        <w:pStyle w:val="BodyText"/>
        <w:numPr>
          <w:ilvl w:val="0"/>
          <w:numId w:val="23"/>
        </w:numPr>
        <w:rPr>
          <w:i/>
          <w:u w:val="single"/>
          <w:lang w:val="en-US"/>
        </w:rPr>
      </w:pPr>
      <w:r w:rsidRPr="00DC5C53">
        <w:rPr>
          <w:lang w:val="en-US"/>
        </w:rPr>
        <w:t>Calculate</w:t>
      </w:r>
      <w:r w:rsidR="0081257E">
        <w:rPr>
          <w:lang w:val="en-US"/>
        </w:rPr>
        <w:t>d</w:t>
      </w:r>
      <w:r w:rsidRPr="00DC5C53">
        <w:rPr>
          <w:lang w:val="en-US"/>
        </w:rPr>
        <w:t xml:space="preserve"> mean</w:t>
      </w:r>
      <w:r w:rsidR="006A1886">
        <w:rPr>
          <w:lang w:val="en-US"/>
        </w:rPr>
        <w:t xml:space="preserve"> benchmark</w:t>
      </w:r>
      <w:r w:rsidRPr="00DC5C53">
        <w:rPr>
          <w:lang w:val="en-US"/>
        </w:rPr>
        <w:t xml:space="preserve"> </w:t>
      </w:r>
      <w:r w:rsidR="0055730E">
        <w:rPr>
          <w:lang w:val="en-US"/>
        </w:rPr>
        <w:t>adjusted total PMPM allowed charges</w:t>
      </w:r>
      <w:r w:rsidR="006A1886">
        <w:rPr>
          <w:lang w:val="en-US"/>
        </w:rPr>
        <w:t>, unweighted across de-duplicated benchmark MSAs (56 MSAs).</w:t>
      </w:r>
    </w:p>
    <w:p w14:paraId="3F662101" w14:textId="729704AF" w:rsidR="00DC5C53" w:rsidRPr="00DC5C53" w:rsidRDefault="00DC5C53" w:rsidP="00DC5C53">
      <w:pPr>
        <w:pStyle w:val="BodyText"/>
        <w:numPr>
          <w:ilvl w:val="0"/>
          <w:numId w:val="23"/>
        </w:numPr>
        <w:rPr>
          <w:i/>
          <w:u w:val="single"/>
          <w:lang w:val="en-US"/>
        </w:rPr>
      </w:pPr>
      <w:r w:rsidRPr="00DC5C53">
        <w:rPr>
          <w:lang w:val="en-US"/>
        </w:rPr>
        <w:t>Multipl</w:t>
      </w:r>
      <w:r w:rsidR="0081257E">
        <w:rPr>
          <w:lang w:val="en-US"/>
        </w:rPr>
        <w:t>ied</w:t>
      </w:r>
      <w:r w:rsidRPr="00DC5C53">
        <w:rPr>
          <w:lang w:val="en-US"/>
        </w:rPr>
        <w:t xml:space="preserve"> the expected ratio </w:t>
      </w:r>
      <w:r w:rsidR="0055730E">
        <w:rPr>
          <w:lang w:val="en-US"/>
        </w:rPr>
        <w:t>(#</w:t>
      </w:r>
      <w:r w:rsidR="00C35FF0">
        <w:rPr>
          <w:lang w:val="en-US"/>
        </w:rPr>
        <w:t>4</w:t>
      </w:r>
      <w:r w:rsidR="0055730E">
        <w:rPr>
          <w:lang w:val="en-US"/>
        </w:rPr>
        <w:t xml:space="preserve">) </w:t>
      </w:r>
      <w:r w:rsidRPr="00DC5C53">
        <w:rPr>
          <w:lang w:val="en-US"/>
        </w:rPr>
        <w:t xml:space="preserve">by the mean </w:t>
      </w:r>
      <w:r w:rsidR="006A1886">
        <w:rPr>
          <w:lang w:val="en-US"/>
        </w:rPr>
        <w:t>benchmar</w:t>
      </w:r>
      <w:r w:rsidR="0007610A">
        <w:rPr>
          <w:lang w:val="en-US"/>
        </w:rPr>
        <w:t>k</w:t>
      </w:r>
      <w:r w:rsidRPr="00DC5C53">
        <w:rPr>
          <w:lang w:val="en-US"/>
        </w:rPr>
        <w:t xml:space="preserve"> value</w:t>
      </w:r>
      <w:r w:rsidR="0055730E">
        <w:rPr>
          <w:lang w:val="en-US"/>
        </w:rPr>
        <w:t xml:space="preserve"> (#</w:t>
      </w:r>
      <w:r w:rsidR="00C35FF0">
        <w:rPr>
          <w:lang w:val="en-US"/>
        </w:rPr>
        <w:t>5</w:t>
      </w:r>
      <w:r w:rsidR="0055730E">
        <w:rPr>
          <w:lang w:val="en-US"/>
        </w:rPr>
        <w:t xml:space="preserve">) </w:t>
      </w:r>
      <w:r w:rsidRPr="00DC5C53">
        <w:rPr>
          <w:lang w:val="en-US"/>
        </w:rPr>
        <w:t>to obtain adjusted values for each MD region and each benchmark MSA</w:t>
      </w:r>
      <w:r w:rsidR="0055730E">
        <w:rPr>
          <w:lang w:val="en-US"/>
        </w:rPr>
        <w:t>. This result</w:t>
      </w:r>
      <w:r w:rsidR="0081257E">
        <w:rPr>
          <w:lang w:val="en-US"/>
        </w:rPr>
        <w:t>ed</w:t>
      </w:r>
      <w:r w:rsidR="0055730E">
        <w:rPr>
          <w:lang w:val="en-US"/>
        </w:rPr>
        <w:t xml:space="preserve"> in demographic</w:t>
      </w:r>
      <w:r w:rsidR="008177C7">
        <w:rPr>
          <w:lang w:val="en-US"/>
        </w:rPr>
        <w:t>-</w:t>
      </w:r>
      <w:r w:rsidR="0055730E">
        <w:rPr>
          <w:lang w:val="en-US"/>
        </w:rPr>
        <w:t>adjusted total PMPM allowed charges for each benchmark MSA and each MD region.</w:t>
      </w:r>
    </w:p>
    <w:p w14:paraId="15C7A6CA" w14:textId="67C593CC" w:rsidR="00322418" w:rsidRPr="00C210F0" w:rsidRDefault="0055730E" w:rsidP="00EF7B86">
      <w:pPr>
        <w:pStyle w:val="BodyText"/>
        <w:rPr>
          <w:i/>
          <w:u w:val="single"/>
          <w:lang w:val="en-US"/>
        </w:rPr>
      </w:pPr>
      <w:r>
        <w:rPr>
          <w:lang w:val="en-US"/>
        </w:rPr>
        <w:t>The MD regions</w:t>
      </w:r>
      <w:r w:rsidR="00925072">
        <w:rPr>
          <w:lang w:val="en-US"/>
        </w:rPr>
        <w:t xml:space="preserve"> and sub-regions</w:t>
      </w:r>
      <w:r>
        <w:rPr>
          <w:lang w:val="en-US"/>
        </w:rPr>
        <w:t xml:space="preserve"> used in Steps </w:t>
      </w:r>
      <w:r w:rsidR="00C35FF0">
        <w:rPr>
          <w:lang w:val="en-US"/>
        </w:rPr>
        <w:t>2</w:t>
      </w:r>
      <w:r w:rsidR="00F2557B">
        <w:rPr>
          <w:lang w:val="en-US"/>
        </w:rPr>
        <w:t>-</w:t>
      </w:r>
      <w:r w:rsidR="00C35FF0">
        <w:rPr>
          <w:lang w:val="en-US"/>
        </w:rPr>
        <w:t>6</w:t>
      </w:r>
      <w:r w:rsidR="00697F74">
        <w:rPr>
          <w:lang w:val="en-US"/>
        </w:rPr>
        <w:t xml:space="preserve"> c</w:t>
      </w:r>
      <w:r w:rsidR="001F3D44">
        <w:rPr>
          <w:lang w:val="en-US"/>
        </w:rPr>
        <w:t>ould</w:t>
      </w:r>
      <w:r w:rsidR="00697F74">
        <w:rPr>
          <w:lang w:val="en-US"/>
        </w:rPr>
        <w:t xml:space="preserve"> be </w:t>
      </w:r>
      <w:r w:rsidR="001F3D44">
        <w:rPr>
          <w:lang w:val="en-US"/>
        </w:rPr>
        <w:t>defined as</w:t>
      </w:r>
      <w:r w:rsidR="00697F74">
        <w:rPr>
          <w:lang w:val="en-US"/>
        </w:rPr>
        <w:t xml:space="preserve"> </w:t>
      </w:r>
      <w:r w:rsidR="001F3D44">
        <w:rPr>
          <w:lang w:val="en-US"/>
        </w:rPr>
        <w:t>the</w:t>
      </w:r>
      <w:r w:rsidR="00697F74">
        <w:rPr>
          <w:lang w:val="en-US"/>
        </w:rPr>
        <w:t xml:space="preserve"> ZIP, county, region, or Primary Service Area Plus</w:t>
      </w:r>
      <w:r w:rsidR="001F3D44">
        <w:rPr>
          <w:lang w:val="en-US"/>
        </w:rPr>
        <w:t xml:space="preserve"> (PSAP)</w:t>
      </w:r>
      <w:r w:rsidR="00697F74">
        <w:rPr>
          <w:lang w:val="en-US"/>
        </w:rPr>
        <w:t>. ZIP</w:t>
      </w:r>
      <w:r w:rsidR="001F3D44">
        <w:rPr>
          <w:lang w:val="en-US"/>
        </w:rPr>
        <w:t>-</w:t>
      </w:r>
      <w:r w:rsidR="00BB1A99">
        <w:rPr>
          <w:lang w:val="en-US"/>
        </w:rPr>
        <w:t xml:space="preserve">code </w:t>
      </w:r>
      <w:r w:rsidR="00697F74">
        <w:rPr>
          <w:lang w:val="en-US"/>
        </w:rPr>
        <w:t xml:space="preserve">level values </w:t>
      </w:r>
      <w:r w:rsidR="001F3D44">
        <w:rPr>
          <w:lang w:val="en-US"/>
        </w:rPr>
        <w:t>were</w:t>
      </w:r>
      <w:r w:rsidR="00697F74">
        <w:rPr>
          <w:lang w:val="en-US"/>
        </w:rPr>
        <w:t xml:space="preserve"> rolled up to higher levels by weighting by the number of member months. For PSAP roll-ups, HSCRC provided </w:t>
      </w:r>
      <w:r w:rsidR="00307565">
        <w:rPr>
          <w:lang w:val="en-US"/>
        </w:rPr>
        <w:t>shares of each MD ZIP</w:t>
      </w:r>
      <w:r w:rsidR="00BB1A99">
        <w:rPr>
          <w:lang w:val="en-US"/>
        </w:rPr>
        <w:t>-</w:t>
      </w:r>
      <w:r w:rsidR="00307565">
        <w:rPr>
          <w:lang w:val="en-US"/>
        </w:rPr>
        <w:t xml:space="preserve">code that </w:t>
      </w:r>
      <w:r w:rsidR="001F3D44">
        <w:rPr>
          <w:lang w:val="en-US"/>
        </w:rPr>
        <w:t>wa</w:t>
      </w:r>
      <w:r w:rsidR="00307565">
        <w:rPr>
          <w:lang w:val="en-US"/>
        </w:rPr>
        <w:t xml:space="preserve">s assigned to each PSAP. </w:t>
      </w:r>
    </w:p>
    <w:p w14:paraId="69F051A4" w14:textId="390F07BD" w:rsidR="002C3B86" w:rsidRDefault="002C3B86" w:rsidP="002C3B86">
      <w:pPr>
        <w:pStyle w:val="Heading2"/>
      </w:pPr>
      <w:bookmarkStart w:id="10" w:name="_Toc35363780"/>
      <w:r>
        <w:t>Conduct Comparisons</w:t>
      </w:r>
      <w:bookmarkEnd w:id="10"/>
    </w:p>
    <w:p w14:paraId="52FEF590" w14:textId="42B0B547" w:rsidR="00C210F0" w:rsidRDefault="00BB1A99" w:rsidP="00B50E19">
      <w:pPr>
        <w:pStyle w:val="BodyText"/>
        <w:rPr>
          <w:lang w:val="en-US"/>
        </w:rPr>
      </w:pPr>
      <w:r>
        <w:rPr>
          <w:lang w:val="en-US"/>
        </w:rPr>
        <w:t xml:space="preserve">We compared the demographic adjusted total PMPM allowed charges of benchmark MSAs to MD regions. For each region, we calculated the average of the 20 benchmark MSAs (without weighting). When comparing to MD PSAPs, we blended the benchmark MSAs when necessary. For example, some MD PSAPs include MD ZIP-codes in more than one MD region. When this occurred, we weighted the by the proportion of the applicable MD region overlapping with the PSAP.  </w:t>
      </w:r>
    </w:p>
    <w:p w14:paraId="7C8E0CDB" w14:textId="4A64F7E4" w:rsidR="003478EA" w:rsidRDefault="00B43701" w:rsidP="00901BB6">
      <w:pPr>
        <w:pStyle w:val="Heading1"/>
      </w:pPr>
      <w:bookmarkStart w:id="11" w:name="_Toc35363781"/>
      <w:r>
        <w:t>Output File</w:t>
      </w:r>
      <w:bookmarkEnd w:id="11"/>
    </w:p>
    <w:p w14:paraId="38ACB957" w14:textId="33FE00C8" w:rsidR="00901BB6" w:rsidRDefault="002B4E42" w:rsidP="00EF7B86">
      <w:pPr>
        <w:pStyle w:val="BodyText"/>
      </w:pPr>
      <w:r>
        <w:t>The attached workbook, entitled “</w:t>
      </w:r>
      <w:r w:rsidR="00BB1A99" w:rsidRPr="00BB1A99">
        <w:t>MD_Commercial_Benchmark_CY201</w:t>
      </w:r>
      <w:r w:rsidR="003B7391">
        <w:t>8</w:t>
      </w:r>
      <w:r w:rsidR="00BB1A99" w:rsidRPr="00BB1A99">
        <w:t>_Data.xlsx</w:t>
      </w:r>
      <w:r>
        <w:t xml:space="preserve">” contains descriptions of the MD areas, benchmark MSAs, and resulting comparisons. Each worksheet is listed and described below: </w:t>
      </w:r>
    </w:p>
    <w:p w14:paraId="4C171008" w14:textId="2DC97DFE" w:rsidR="002B4E42" w:rsidRDefault="003B7391" w:rsidP="002B4E42">
      <w:pPr>
        <w:pStyle w:val="BodyText"/>
        <w:numPr>
          <w:ilvl w:val="0"/>
          <w:numId w:val="24"/>
        </w:numPr>
      </w:pPr>
      <w:r>
        <w:rPr>
          <w:b/>
          <w:bCs/>
        </w:rPr>
        <w:t>Purpose and</w:t>
      </w:r>
      <w:r w:rsidRPr="002B4E42">
        <w:rPr>
          <w:b/>
          <w:bCs/>
        </w:rPr>
        <w:t xml:space="preserve"> </w:t>
      </w:r>
      <w:r>
        <w:rPr>
          <w:b/>
          <w:bCs/>
        </w:rPr>
        <w:t>C</w:t>
      </w:r>
      <w:r w:rsidR="002B4E42" w:rsidRPr="002B4E42">
        <w:rPr>
          <w:b/>
          <w:bCs/>
        </w:rPr>
        <w:t>aveats:</w:t>
      </w:r>
      <w:r w:rsidR="002B4E42">
        <w:t xml:space="preserve"> these are also repeated in </w:t>
      </w:r>
      <w:r w:rsidR="002B4E42" w:rsidRPr="002B4E42">
        <w:rPr>
          <w:b/>
          <w:bCs/>
        </w:rPr>
        <w:t>Section E</w:t>
      </w:r>
      <w:r w:rsidR="002B4E42">
        <w:t xml:space="preserve"> below.</w:t>
      </w:r>
    </w:p>
    <w:p w14:paraId="150DCD38" w14:textId="7A505AF0" w:rsidR="002B4E42" w:rsidRDefault="002B4E42" w:rsidP="002B4E42">
      <w:pPr>
        <w:pStyle w:val="BodyText"/>
        <w:numPr>
          <w:ilvl w:val="0"/>
          <w:numId w:val="24"/>
        </w:numPr>
      </w:pPr>
      <w:r>
        <w:rPr>
          <w:b/>
          <w:bCs/>
        </w:rPr>
        <w:t>MD regions:</w:t>
      </w:r>
      <w:r>
        <w:t xml:space="preserve"> the list of MD counties mapped to the five MD regions and the MD map. </w:t>
      </w:r>
    </w:p>
    <w:p w14:paraId="77BD9980" w14:textId="0260F66C" w:rsidR="002B4E42" w:rsidRDefault="002B4E42" w:rsidP="002B4E42">
      <w:pPr>
        <w:pStyle w:val="BodyText"/>
        <w:numPr>
          <w:ilvl w:val="0"/>
          <w:numId w:val="24"/>
        </w:numPr>
      </w:pPr>
      <w:r>
        <w:rPr>
          <w:b/>
          <w:bCs/>
        </w:rPr>
        <w:t>Data dictionary:</w:t>
      </w:r>
      <w:r>
        <w:t xml:space="preserve"> a brief description the metrics/fields</w:t>
      </w:r>
      <w:r w:rsidR="00D94736">
        <w:t xml:space="preserve"> in the spreadsheet</w:t>
      </w:r>
      <w:r>
        <w:t xml:space="preserve"> </w:t>
      </w:r>
    </w:p>
    <w:p w14:paraId="76C1B29D" w14:textId="1FD7510B" w:rsidR="002B4E42" w:rsidRDefault="002B4E42" w:rsidP="002B4E42">
      <w:pPr>
        <w:pStyle w:val="BodyText"/>
        <w:numPr>
          <w:ilvl w:val="0"/>
          <w:numId w:val="24"/>
        </w:numPr>
      </w:pPr>
      <w:r w:rsidRPr="00BE569F">
        <w:rPr>
          <w:b/>
          <w:bCs/>
        </w:rPr>
        <w:t>County</w:t>
      </w:r>
      <w:r w:rsidR="00943C94" w:rsidRPr="00BE569F">
        <w:rPr>
          <w:b/>
          <w:bCs/>
        </w:rPr>
        <w:t xml:space="preserve"> BM summary:</w:t>
      </w:r>
      <w:r w:rsidR="00943C94">
        <w:t xml:space="preserve"> </w:t>
      </w:r>
      <w:r w:rsidR="00BE569F">
        <w:t>MD region, county</w:t>
      </w:r>
      <w:r w:rsidR="000A0EC5">
        <w:t>,</w:t>
      </w:r>
      <w:r w:rsidR="00BE569F">
        <w:t xml:space="preserve"> and </w:t>
      </w:r>
      <w:r w:rsidR="000A0EC5">
        <w:t xml:space="preserve">aggregated </w:t>
      </w:r>
      <w:r w:rsidR="00BE569F">
        <w:t xml:space="preserve">benchmark comparisons on </w:t>
      </w:r>
      <w:r w:rsidR="000A0EC5">
        <w:t xml:space="preserve">characteristics and allowed PMPM charges, risk score </w:t>
      </w:r>
      <w:r w:rsidR="003B7391">
        <w:t xml:space="preserve">and benefit-level </w:t>
      </w:r>
      <w:r w:rsidR="000A0EC5">
        <w:t>adjusted allowed PMPM charges, and demographic-adjusted PMPM charges.</w:t>
      </w:r>
    </w:p>
    <w:p w14:paraId="0D3CA979" w14:textId="25D80DCF" w:rsidR="00943C94" w:rsidRPr="000A0EC5" w:rsidRDefault="00943C94" w:rsidP="002B4E42">
      <w:pPr>
        <w:pStyle w:val="BodyText"/>
        <w:numPr>
          <w:ilvl w:val="0"/>
          <w:numId w:val="24"/>
        </w:numPr>
        <w:rPr>
          <w:b/>
          <w:bCs/>
        </w:rPr>
      </w:pPr>
      <w:r w:rsidRPr="000A0EC5">
        <w:rPr>
          <w:b/>
          <w:bCs/>
        </w:rPr>
        <w:t>County BM ratios</w:t>
      </w:r>
      <w:r w:rsidR="000A0EC5" w:rsidRPr="000A0EC5">
        <w:rPr>
          <w:b/>
          <w:bCs/>
        </w:rPr>
        <w:t xml:space="preserve">: </w:t>
      </w:r>
      <w:r w:rsidR="000A0EC5">
        <w:t xml:space="preserve">MD region, county, and aggregated benchmark ratios on allowed PMPM charges, risk score </w:t>
      </w:r>
      <w:r w:rsidR="003B7391">
        <w:t xml:space="preserve">and benefit-level </w:t>
      </w:r>
      <w:r w:rsidR="000A0EC5">
        <w:t>adjusted allowed PMPM charges, and demographic-adjusted PMPM charges.</w:t>
      </w:r>
    </w:p>
    <w:p w14:paraId="5039E95A" w14:textId="15FDF320" w:rsidR="00943C94" w:rsidRDefault="00943C94" w:rsidP="002B4E42">
      <w:pPr>
        <w:pStyle w:val="BodyText"/>
        <w:numPr>
          <w:ilvl w:val="0"/>
          <w:numId w:val="24"/>
        </w:numPr>
      </w:pPr>
      <w:r w:rsidRPr="000A0EC5">
        <w:rPr>
          <w:b/>
          <w:bCs/>
        </w:rPr>
        <w:t>Benchmark MSA descriptives:</w:t>
      </w:r>
      <w:r w:rsidR="000A0EC5">
        <w:t xml:space="preserve"> characteristics of individual benchmark MSAs.</w:t>
      </w:r>
    </w:p>
    <w:p w14:paraId="7A07A520" w14:textId="60CDBF2C" w:rsidR="00943C94" w:rsidRDefault="00943C94" w:rsidP="002B4E42">
      <w:pPr>
        <w:pStyle w:val="BodyText"/>
        <w:numPr>
          <w:ilvl w:val="0"/>
          <w:numId w:val="24"/>
        </w:numPr>
      </w:pPr>
      <w:r w:rsidRPr="000A0EC5">
        <w:rPr>
          <w:b/>
          <w:bCs/>
        </w:rPr>
        <w:t>County Cost Comparisons:</w:t>
      </w:r>
      <w:r w:rsidR="000A0EC5">
        <w:t xml:space="preserve"> comparison of MD regions and counties to aggregated benchmarks on various metrics, including cost per RVU, RVUs per member per year, etc.</w:t>
      </w:r>
    </w:p>
    <w:p w14:paraId="0B7837B7" w14:textId="6ED20B0C" w:rsidR="00943C94" w:rsidRDefault="00943C94" w:rsidP="002B4E42">
      <w:pPr>
        <w:pStyle w:val="BodyText"/>
        <w:numPr>
          <w:ilvl w:val="0"/>
          <w:numId w:val="24"/>
        </w:numPr>
      </w:pPr>
      <w:r w:rsidRPr="000A0EC5">
        <w:rPr>
          <w:b/>
          <w:bCs/>
        </w:rPr>
        <w:t>PSAP county shares</w:t>
      </w:r>
      <w:r w:rsidR="000A0EC5" w:rsidRPr="000A0EC5">
        <w:rPr>
          <w:b/>
          <w:bCs/>
        </w:rPr>
        <w:t>:</w:t>
      </w:r>
      <w:r w:rsidR="000A0EC5">
        <w:t xml:space="preserve"> listing of PSAP and PSAP shares within each MD county.</w:t>
      </w:r>
    </w:p>
    <w:p w14:paraId="1866B25E" w14:textId="2E9E3086" w:rsidR="00943C94" w:rsidRDefault="00943C94" w:rsidP="002B4E42">
      <w:pPr>
        <w:pStyle w:val="BodyText"/>
        <w:numPr>
          <w:ilvl w:val="0"/>
          <w:numId w:val="24"/>
        </w:numPr>
      </w:pPr>
      <w:r w:rsidRPr="000A0EC5">
        <w:rPr>
          <w:b/>
          <w:bCs/>
        </w:rPr>
        <w:t>PSAP descriptives</w:t>
      </w:r>
      <w:r w:rsidR="000A0EC5" w:rsidRPr="000A0EC5">
        <w:rPr>
          <w:b/>
          <w:bCs/>
        </w:rPr>
        <w:t>:</w:t>
      </w:r>
      <w:r w:rsidR="000A0EC5">
        <w:t xml:space="preserve"> PSAP characteristics and allowed charges.</w:t>
      </w:r>
    </w:p>
    <w:p w14:paraId="46A30760" w14:textId="57985998" w:rsidR="00943C94" w:rsidRDefault="00943C94" w:rsidP="002B4E42">
      <w:pPr>
        <w:pStyle w:val="BodyText"/>
        <w:numPr>
          <w:ilvl w:val="0"/>
          <w:numId w:val="24"/>
        </w:numPr>
      </w:pPr>
      <w:r w:rsidRPr="000A0EC5">
        <w:rPr>
          <w:b/>
          <w:bCs/>
        </w:rPr>
        <w:t>PSAP BM summary:</w:t>
      </w:r>
      <w:r w:rsidR="000A0EC5">
        <w:t xml:space="preserve"> PSAP and aggregated benchmark comparisons on characteristics and allowed PMPM charges, risk score </w:t>
      </w:r>
      <w:r w:rsidR="003B7391">
        <w:t xml:space="preserve">and benefit-level </w:t>
      </w:r>
      <w:r w:rsidR="000A0EC5">
        <w:t>adjusted allowed PMPM charges, and demographic-adjusted PMPM charges.</w:t>
      </w:r>
    </w:p>
    <w:p w14:paraId="69B85017" w14:textId="3CE2E85D" w:rsidR="00943C94" w:rsidRDefault="00943C94" w:rsidP="002B4E42">
      <w:pPr>
        <w:pStyle w:val="BodyText"/>
        <w:numPr>
          <w:ilvl w:val="0"/>
          <w:numId w:val="24"/>
        </w:numPr>
      </w:pPr>
      <w:r w:rsidRPr="000A0EC5">
        <w:rPr>
          <w:b/>
          <w:bCs/>
        </w:rPr>
        <w:lastRenderedPageBreak/>
        <w:t>County PSAP compare</w:t>
      </w:r>
      <w:r w:rsidR="000A0EC5" w:rsidRPr="000A0EC5">
        <w:rPr>
          <w:b/>
          <w:bCs/>
        </w:rPr>
        <w:t>:</w:t>
      </w:r>
      <w:r w:rsidR="000A0EC5">
        <w:t xml:space="preserve"> comparison of PSAP and county characteristics</w:t>
      </w:r>
    </w:p>
    <w:p w14:paraId="4E13E0E3" w14:textId="155F8BB7" w:rsidR="00943C94" w:rsidRDefault="00943C94" w:rsidP="002B4E42">
      <w:pPr>
        <w:pStyle w:val="BodyText"/>
        <w:numPr>
          <w:ilvl w:val="0"/>
          <w:numId w:val="24"/>
        </w:numPr>
      </w:pPr>
      <w:r w:rsidRPr="000A0EC5">
        <w:rPr>
          <w:b/>
          <w:bCs/>
        </w:rPr>
        <w:t>PSAP cost ratios</w:t>
      </w:r>
      <w:r w:rsidR="000A0EC5" w:rsidRPr="000A0EC5">
        <w:rPr>
          <w:b/>
          <w:bCs/>
        </w:rPr>
        <w:t>:</w:t>
      </w:r>
      <w:r w:rsidR="000A0EC5" w:rsidRPr="000A0EC5">
        <w:t xml:space="preserve"> </w:t>
      </w:r>
      <w:r w:rsidR="000A0EC5">
        <w:t>PSAP and aggregated benchmark ratios on allowed PMPM charges, risk score adjusted allowed PMPM charges, and demographic-adjusted PMPM charges.</w:t>
      </w:r>
    </w:p>
    <w:p w14:paraId="1B5A4169" w14:textId="57DC0126" w:rsidR="002B4E42" w:rsidRPr="00F102AB" w:rsidRDefault="00943C94" w:rsidP="00EF7B86">
      <w:pPr>
        <w:pStyle w:val="BodyText"/>
        <w:numPr>
          <w:ilvl w:val="0"/>
          <w:numId w:val="24"/>
        </w:numPr>
      </w:pPr>
      <w:r w:rsidRPr="000A0EC5">
        <w:rPr>
          <w:b/>
          <w:bCs/>
        </w:rPr>
        <w:t>PSAP cost comparisons</w:t>
      </w:r>
      <w:r w:rsidR="000A0EC5" w:rsidRPr="000A0EC5">
        <w:rPr>
          <w:b/>
          <w:bCs/>
        </w:rPr>
        <w:t>:</w:t>
      </w:r>
      <w:r w:rsidR="000A0EC5" w:rsidRPr="000A0EC5">
        <w:t xml:space="preserve"> </w:t>
      </w:r>
      <w:r w:rsidR="000A0EC5">
        <w:t>comparison of PSAP to aggregated benchmarks on various metrics, including cost per RVU, RVUs per member per year, etc.</w:t>
      </w:r>
    </w:p>
    <w:p w14:paraId="6B6933BF" w14:textId="5C494280" w:rsidR="00587D65" w:rsidRDefault="009930EC" w:rsidP="00901BB6">
      <w:pPr>
        <w:pStyle w:val="Heading1"/>
      </w:pPr>
      <w:bookmarkStart w:id="12" w:name="_Toc35363782"/>
      <w:r>
        <w:t xml:space="preserve">Data Reliance, </w:t>
      </w:r>
      <w:r w:rsidR="00B43701">
        <w:t>Restrictions</w:t>
      </w:r>
      <w:r>
        <w:t xml:space="preserve">, </w:t>
      </w:r>
      <w:r w:rsidR="00B43701">
        <w:t>Limitations</w:t>
      </w:r>
      <w:bookmarkEnd w:id="12"/>
    </w:p>
    <w:p w14:paraId="12B62FCE" w14:textId="3EBA5ADE" w:rsidR="00183665" w:rsidRDefault="00B72DA9" w:rsidP="00183665">
      <w:pPr>
        <w:spacing w:after="0"/>
      </w:pPr>
      <w:bookmarkStart w:id="13" w:name="_Hlk32485277"/>
      <w:r>
        <w:t xml:space="preserve">Milliman has prepared the </w:t>
      </w:r>
      <w:r w:rsidR="00183665">
        <w:t xml:space="preserve">2018 benchmark and Maryland APCD processed and summarized data for the use of the Maryland HSCRC.  </w:t>
      </w:r>
      <w:r w:rsidRPr="00BF10C6">
        <w:t>This information is intended solely for educational purposes and presents information of a general nature.  It is not intended to guide or determine any specific individual situation and persons should consult qualified professionals before taking specific actions.  Milliman does not intend to benefit or create a legal duty to any third party recipient of its work.</w:t>
      </w:r>
      <w:r>
        <w:t xml:space="preserve"> </w:t>
      </w:r>
      <w:r w:rsidRPr="00C31AE1">
        <w:t>This information is subject to the terms and conditions of the Task Order Agreement (#50209) effective March 1, 2019.</w:t>
      </w:r>
    </w:p>
    <w:p w14:paraId="33C1884D" w14:textId="77777777" w:rsidR="00183665" w:rsidRDefault="00183665" w:rsidP="00183665">
      <w:pPr>
        <w:spacing w:after="0"/>
      </w:pPr>
    </w:p>
    <w:p w14:paraId="7254B6EB" w14:textId="234E4ECF" w:rsidR="00183665" w:rsidRDefault="00183665" w:rsidP="00183665">
      <w:pPr>
        <w:spacing w:after="0"/>
      </w:pPr>
      <w:r>
        <w:t xml:space="preserve">In preparation of </w:t>
      </w:r>
      <w:r w:rsidR="00B72DA9">
        <w:t xml:space="preserve">the </w:t>
      </w:r>
      <w:r>
        <w:t xml:space="preserve">analysis, </w:t>
      </w:r>
      <w:r w:rsidR="00B72DA9">
        <w:t>Milliman</w:t>
      </w:r>
      <w:r>
        <w:t xml:space="preserve"> relied upon the accuracy of data and information gathered from or provided to us by the Centers for Medicare and Medicaid Services (CMS), HHS, and our data partners. </w:t>
      </w:r>
      <w:r w:rsidR="00B72DA9">
        <w:t>Milliman has</w:t>
      </w:r>
      <w:r>
        <w:t xml:space="preserve"> not audited this information, although </w:t>
      </w:r>
      <w:r w:rsidR="00B72DA9">
        <w:t>it has been</w:t>
      </w:r>
      <w:r>
        <w:t xml:space="preserve"> reviewed for reasonableness. If the underlying data or information is inaccurate or incomplete, the results of our analysis may likewise be inaccurate or incomplete.</w:t>
      </w:r>
    </w:p>
    <w:p w14:paraId="3AD771D0" w14:textId="77777777" w:rsidR="00183665" w:rsidRDefault="00183665" w:rsidP="00183665">
      <w:pPr>
        <w:spacing w:after="0"/>
      </w:pPr>
    </w:p>
    <w:p w14:paraId="58089C95" w14:textId="576C7EA8" w:rsidR="00D94736" w:rsidRDefault="00B72DA9" w:rsidP="00183665">
      <w:pPr>
        <w:spacing w:after="0"/>
      </w:pPr>
      <w:r>
        <w:t xml:space="preserve">Milliman </w:t>
      </w:r>
      <w:r w:rsidR="00183665">
        <w:t>ha</w:t>
      </w:r>
      <w:r w:rsidR="00BC520C">
        <w:t>s</w:t>
      </w:r>
      <w:r w:rsidR="00183665">
        <w:t xml:space="preserve"> also relied on the data and other information provided by the HSCRC for this analysis. </w:t>
      </w:r>
      <w:r>
        <w:t>Milliman has</w:t>
      </w:r>
      <w:r w:rsidR="00183665">
        <w:t xml:space="preserve"> performed a limited review of this data and other information and checked for reasonableness and consistency. </w:t>
      </w:r>
      <w:r>
        <w:t xml:space="preserve">Milliman </w:t>
      </w:r>
      <w:r w:rsidR="00183665">
        <w:t>ha</w:t>
      </w:r>
      <w:r>
        <w:t>s</w:t>
      </w:r>
      <w:r w:rsidR="00183665">
        <w:t xml:space="preserve"> not found material defects in the data or information used other than those described in this report, which also describes how those defects were addressed to enable this analysis to be reliably performed. If there are other material defects in the data or other information, it is possible that they would be uncovered by a detailed, systematic review and comparison of the data to search for data values that are questionable or for relationships that are materially inconsistent. Such a review was beyond the scope of this assignment.</w:t>
      </w:r>
    </w:p>
    <w:bookmarkEnd w:id="13"/>
    <w:p w14:paraId="2ACE1193" w14:textId="77777777" w:rsidR="00D94736" w:rsidRDefault="00D94736">
      <w:pPr>
        <w:spacing w:after="0"/>
      </w:pPr>
      <w:r>
        <w:br w:type="page"/>
      </w:r>
    </w:p>
    <w:p w14:paraId="3B9DFB8B" w14:textId="5821A49F" w:rsidR="002D6C2C" w:rsidRDefault="00D94736" w:rsidP="00D94736">
      <w:pPr>
        <w:pStyle w:val="Heading1"/>
        <w:numPr>
          <w:ilvl w:val="0"/>
          <w:numId w:val="0"/>
        </w:numPr>
      </w:pPr>
      <w:bookmarkStart w:id="14" w:name="_Toc35363783"/>
      <w:r>
        <w:lastRenderedPageBreak/>
        <w:t xml:space="preserve">Appendix A. </w:t>
      </w:r>
      <w:r w:rsidR="00F60CCA">
        <w:t>MD APCD Exclusions and Data Cleaning</w:t>
      </w:r>
      <w:bookmarkEnd w:id="14"/>
    </w:p>
    <w:p w14:paraId="67D5064E" w14:textId="180DAEF1" w:rsidR="00F60CCA" w:rsidRPr="00F60CCA" w:rsidRDefault="00F60CCA" w:rsidP="00F60CCA">
      <w:pPr>
        <w:rPr>
          <w:szCs w:val="22"/>
        </w:rPr>
      </w:pPr>
      <w:r w:rsidRPr="00F60CCA">
        <w:rPr>
          <w:szCs w:val="22"/>
        </w:rPr>
        <w:t>Maryland’s 201</w:t>
      </w:r>
      <w:r w:rsidR="00C025A2">
        <w:rPr>
          <w:szCs w:val="22"/>
        </w:rPr>
        <w:t>8</w:t>
      </w:r>
      <w:r w:rsidRPr="00F60CCA">
        <w:rPr>
          <w:szCs w:val="22"/>
        </w:rPr>
        <w:t xml:space="preserve"> APCD </w:t>
      </w:r>
      <w:r w:rsidR="00115360">
        <w:rPr>
          <w:szCs w:val="22"/>
        </w:rPr>
        <w:t>was</w:t>
      </w:r>
      <w:r w:rsidRPr="00F60CCA">
        <w:rPr>
          <w:szCs w:val="22"/>
        </w:rPr>
        <w:t xml:space="preserve"> used to calculate the 201</w:t>
      </w:r>
      <w:r w:rsidR="00C025A2">
        <w:rPr>
          <w:szCs w:val="22"/>
        </w:rPr>
        <w:t>8</w:t>
      </w:r>
      <w:r w:rsidRPr="00F60CCA">
        <w:rPr>
          <w:szCs w:val="22"/>
        </w:rPr>
        <w:t xml:space="preserve"> Maryland commercial </w:t>
      </w:r>
      <w:r w:rsidR="00734AA2">
        <w:rPr>
          <w:szCs w:val="22"/>
        </w:rPr>
        <w:t xml:space="preserve">and individual </w:t>
      </w:r>
      <w:r w:rsidRPr="00F60CCA">
        <w:rPr>
          <w:szCs w:val="22"/>
        </w:rPr>
        <w:t>medical cost and utilization. Milliman processed the APCD eligibility and detailed claims information and calculated metrics consistent with the 201</w:t>
      </w:r>
      <w:r w:rsidR="00C025A2">
        <w:rPr>
          <w:szCs w:val="22"/>
        </w:rPr>
        <w:t>8</w:t>
      </w:r>
      <w:r w:rsidRPr="00F60CCA">
        <w:rPr>
          <w:szCs w:val="22"/>
        </w:rPr>
        <w:t xml:space="preserve"> Milliman Benchmark Database.</w:t>
      </w:r>
      <w:r w:rsidR="00F0683C">
        <w:rPr>
          <w:rStyle w:val="FootnoteReference"/>
          <w:szCs w:val="22"/>
        </w:rPr>
        <w:footnoteReference w:id="4"/>
      </w:r>
      <w:r w:rsidRPr="00F60CCA">
        <w:rPr>
          <w:szCs w:val="22"/>
        </w:rPr>
        <w:t xml:space="preserve"> The data used in this analysis </w:t>
      </w:r>
      <w:r w:rsidR="00F0683C">
        <w:rPr>
          <w:szCs w:val="22"/>
        </w:rPr>
        <w:t>were</w:t>
      </w:r>
      <w:r w:rsidRPr="00F60CCA">
        <w:rPr>
          <w:szCs w:val="22"/>
        </w:rPr>
        <w:t xml:space="preserve"> limited to commercial </w:t>
      </w:r>
      <w:r w:rsidR="00734AA2">
        <w:rPr>
          <w:szCs w:val="22"/>
        </w:rPr>
        <w:t xml:space="preserve">and individual </w:t>
      </w:r>
      <w:r w:rsidRPr="00F60CCA">
        <w:rPr>
          <w:szCs w:val="22"/>
        </w:rPr>
        <w:t>members under age 65. Milliman worked with HSCRC to perform the following steps</w:t>
      </w:r>
      <w:r>
        <w:rPr>
          <w:szCs w:val="22"/>
        </w:rPr>
        <w:t xml:space="preserve"> to clean the APCD data:</w:t>
      </w:r>
    </w:p>
    <w:p w14:paraId="38FBAE21" w14:textId="741A8847" w:rsidR="00F60CCA" w:rsidRPr="00F60CCA" w:rsidRDefault="00F60CCA" w:rsidP="00F60CCA">
      <w:pPr>
        <w:pStyle w:val="ListParagraph"/>
        <w:numPr>
          <w:ilvl w:val="0"/>
          <w:numId w:val="30"/>
        </w:numPr>
        <w:spacing w:after="180" w:line="240" w:lineRule="auto"/>
        <w:contextualSpacing w:val="0"/>
        <w:rPr>
          <w:rFonts w:ascii="Times New Roman" w:hAnsi="Times New Roman" w:cs="Times New Roman"/>
        </w:rPr>
      </w:pPr>
      <w:r w:rsidRPr="00F60CCA">
        <w:rPr>
          <w:rFonts w:ascii="Times New Roman" w:hAnsi="Times New Roman" w:cs="Times New Roman"/>
          <w:b/>
        </w:rPr>
        <w:t>Import</w:t>
      </w:r>
      <w:r w:rsidR="00F0683C">
        <w:rPr>
          <w:rFonts w:ascii="Times New Roman" w:hAnsi="Times New Roman" w:cs="Times New Roman"/>
          <w:b/>
        </w:rPr>
        <w:t>ed</w:t>
      </w:r>
      <w:r w:rsidRPr="00F60CCA">
        <w:rPr>
          <w:rFonts w:ascii="Times New Roman" w:hAnsi="Times New Roman" w:cs="Times New Roman"/>
          <w:b/>
        </w:rPr>
        <w:t xml:space="preserve"> APCD:</w:t>
      </w:r>
      <w:r w:rsidRPr="00F60CCA">
        <w:rPr>
          <w:rFonts w:ascii="Times New Roman" w:hAnsi="Times New Roman" w:cs="Times New Roman"/>
        </w:rPr>
        <w:t xml:space="preserve"> Import</w:t>
      </w:r>
      <w:r w:rsidR="00F0683C">
        <w:rPr>
          <w:rFonts w:ascii="Times New Roman" w:hAnsi="Times New Roman" w:cs="Times New Roman"/>
        </w:rPr>
        <w:t>ed</w:t>
      </w:r>
      <w:r w:rsidRPr="00F60CCA">
        <w:rPr>
          <w:rFonts w:ascii="Times New Roman" w:hAnsi="Times New Roman" w:cs="Times New Roman"/>
        </w:rPr>
        <w:t xml:space="preserve"> APCD and process</w:t>
      </w:r>
      <w:r w:rsidR="00F0683C">
        <w:rPr>
          <w:rFonts w:ascii="Times New Roman" w:hAnsi="Times New Roman" w:cs="Times New Roman"/>
        </w:rPr>
        <w:t>ed</w:t>
      </w:r>
      <w:r w:rsidRPr="00F60CCA">
        <w:rPr>
          <w:rFonts w:ascii="Times New Roman" w:hAnsi="Times New Roman" w:cs="Times New Roman"/>
        </w:rPr>
        <w:t xml:space="preserve"> the eligibility and detailed claims data. </w:t>
      </w:r>
      <w:r w:rsidR="00AB34A0">
        <w:rPr>
          <w:rFonts w:ascii="Times New Roman" w:hAnsi="Times New Roman" w:cs="Times New Roman"/>
        </w:rPr>
        <w:t>Milliman</w:t>
      </w:r>
      <w:r w:rsidRPr="00F60CCA">
        <w:rPr>
          <w:rFonts w:ascii="Times New Roman" w:hAnsi="Times New Roman" w:cs="Times New Roman"/>
        </w:rPr>
        <w:t xml:space="preserve"> utilized the data dictionaries, guidance, and other information about the Maryland APCD provided by HSCRC.</w:t>
      </w:r>
    </w:p>
    <w:p w14:paraId="5D6B850B" w14:textId="0BFD26F2" w:rsidR="00F60CCA" w:rsidRDefault="00F60CCA" w:rsidP="00F60CCA">
      <w:pPr>
        <w:pStyle w:val="ListParagraph"/>
        <w:numPr>
          <w:ilvl w:val="0"/>
          <w:numId w:val="30"/>
        </w:numPr>
        <w:spacing w:after="0" w:line="240" w:lineRule="auto"/>
        <w:contextualSpacing w:val="0"/>
        <w:rPr>
          <w:rFonts w:ascii="Times New Roman" w:hAnsi="Times New Roman" w:cs="Times New Roman"/>
        </w:rPr>
      </w:pPr>
      <w:r w:rsidRPr="00F60CCA">
        <w:rPr>
          <w:rFonts w:ascii="Times New Roman" w:hAnsi="Times New Roman" w:cs="Times New Roman"/>
          <w:b/>
        </w:rPr>
        <w:t>Limit</w:t>
      </w:r>
      <w:r w:rsidR="00F0683C">
        <w:rPr>
          <w:rFonts w:ascii="Times New Roman" w:hAnsi="Times New Roman" w:cs="Times New Roman"/>
          <w:b/>
        </w:rPr>
        <w:t>ed</w:t>
      </w:r>
      <w:r w:rsidRPr="00F60CCA">
        <w:rPr>
          <w:rFonts w:ascii="Times New Roman" w:hAnsi="Times New Roman" w:cs="Times New Roman"/>
          <w:b/>
        </w:rPr>
        <w:t xml:space="preserve"> to commercial </w:t>
      </w:r>
      <w:r w:rsidR="00734AA2">
        <w:rPr>
          <w:rFonts w:ascii="Times New Roman" w:hAnsi="Times New Roman" w:cs="Times New Roman"/>
          <w:b/>
        </w:rPr>
        <w:t xml:space="preserve">and individual </w:t>
      </w:r>
      <w:r w:rsidRPr="00F60CCA">
        <w:rPr>
          <w:rFonts w:ascii="Times New Roman" w:hAnsi="Times New Roman" w:cs="Times New Roman"/>
          <w:b/>
        </w:rPr>
        <w:t>experience:</w:t>
      </w:r>
      <w:r w:rsidRPr="00F60CCA">
        <w:rPr>
          <w:rFonts w:ascii="Times New Roman" w:hAnsi="Times New Roman" w:cs="Times New Roman"/>
        </w:rPr>
        <w:t xml:space="preserve"> </w:t>
      </w:r>
      <w:r w:rsidR="00AB34A0">
        <w:rPr>
          <w:rFonts w:ascii="Times New Roman" w:hAnsi="Times New Roman" w:cs="Times New Roman"/>
        </w:rPr>
        <w:t>Milliman</w:t>
      </w:r>
      <w:r w:rsidRPr="00F60CCA">
        <w:rPr>
          <w:rFonts w:ascii="Times New Roman" w:hAnsi="Times New Roman" w:cs="Times New Roman"/>
        </w:rPr>
        <w:t xml:space="preserve"> limited the APCD to commercial </w:t>
      </w:r>
      <w:r w:rsidR="00734AA2">
        <w:rPr>
          <w:rFonts w:ascii="Times New Roman" w:hAnsi="Times New Roman" w:cs="Times New Roman"/>
        </w:rPr>
        <w:t xml:space="preserve">and individual </w:t>
      </w:r>
      <w:r w:rsidRPr="00F60CCA">
        <w:rPr>
          <w:rFonts w:ascii="Times New Roman" w:hAnsi="Times New Roman" w:cs="Times New Roman"/>
        </w:rPr>
        <w:t xml:space="preserve">experience using the “COVTYP_E_EDT” field. Specifically, </w:t>
      </w:r>
      <w:r w:rsidR="00AB34A0">
        <w:rPr>
          <w:rFonts w:ascii="Times New Roman" w:hAnsi="Times New Roman" w:cs="Times New Roman"/>
        </w:rPr>
        <w:t>Milliman</w:t>
      </w:r>
      <w:r w:rsidRPr="00F60CCA">
        <w:rPr>
          <w:rFonts w:ascii="Times New Roman" w:hAnsi="Times New Roman" w:cs="Times New Roman"/>
        </w:rPr>
        <w:t xml:space="preserve"> limited to the following:</w:t>
      </w:r>
    </w:p>
    <w:p w14:paraId="13CE6E98" w14:textId="77777777" w:rsidR="00F60CCA" w:rsidRPr="00F60CCA" w:rsidRDefault="00F60CCA" w:rsidP="00F60CCA">
      <w:pPr>
        <w:pStyle w:val="ListParagraph"/>
        <w:spacing w:after="0" w:line="240" w:lineRule="auto"/>
        <w:contextualSpacing w:val="0"/>
        <w:rPr>
          <w:rFonts w:ascii="Times New Roman" w:hAnsi="Times New Roman" w:cs="Times New Roman"/>
        </w:rPr>
      </w:pPr>
    </w:p>
    <w:tbl>
      <w:tblPr>
        <w:tblStyle w:val="GridTable1Light"/>
        <w:tblW w:w="7281" w:type="dxa"/>
        <w:jc w:val="center"/>
        <w:tblLook w:val="04A0" w:firstRow="1" w:lastRow="0" w:firstColumn="1" w:lastColumn="0" w:noHBand="0" w:noVBand="1"/>
      </w:tblPr>
      <w:tblGrid>
        <w:gridCol w:w="1620"/>
        <w:gridCol w:w="5661"/>
      </w:tblGrid>
      <w:tr w:rsidR="00F60CCA" w:rsidRPr="00F60CCA" w14:paraId="5E6D89D0" w14:textId="77777777" w:rsidTr="00FA41F1">
        <w:trPr>
          <w:cnfStyle w:val="100000000000" w:firstRow="1" w:lastRow="0" w:firstColumn="0" w:lastColumn="0" w:oddVBand="0" w:evenVBand="0" w:oddHBand="0"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1620" w:type="dxa"/>
            <w:tcBorders>
              <w:bottom w:val="single" w:sz="4" w:space="0" w:color="auto"/>
            </w:tcBorders>
            <w:shd w:val="clear" w:color="auto" w:fill="48A9C5" w:themeFill="text2"/>
            <w:noWrap/>
            <w:vAlign w:val="center"/>
            <w:hideMark/>
          </w:tcPr>
          <w:p w14:paraId="00DBE4C5" w14:textId="77777777" w:rsidR="00F60CCA" w:rsidRPr="005C13A5" w:rsidRDefault="00F60CCA" w:rsidP="00BB41F7">
            <w:pPr>
              <w:spacing w:after="0"/>
              <w:jc w:val="center"/>
              <w:rPr>
                <w:rFonts w:ascii="Arial Narrow" w:hAnsi="Arial Narrow" w:cs="Times New Roman"/>
                <w:color w:val="FFFFFF" w:themeColor="background1"/>
                <w:sz w:val="20"/>
                <w:szCs w:val="20"/>
              </w:rPr>
            </w:pPr>
            <w:r w:rsidRPr="005C13A5">
              <w:rPr>
                <w:rFonts w:ascii="Arial Narrow" w:hAnsi="Arial Narrow" w:cs="Times New Roman"/>
                <w:color w:val="FFFFFF" w:themeColor="background1"/>
                <w:sz w:val="20"/>
                <w:szCs w:val="20"/>
              </w:rPr>
              <w:t>COVTYPE_E_EDT</w:t>
            </w:r>
          </w:p>
        </w:tc>
        <w:tc>
          <w:tcPr>
            <w:tcW w:w="5661" w:type="dxa"/>
            <w:tcBorders>
              <w:bottom w:val="single" w:sz="4" w:space="0" w:color="auto"/>
            </w:tcBorders>
            <w:shd w:val="clear" w:color="auto" w:fill="48A9C5" w:themeFill="text2"/>
            <w:noWrap/>
            <w:vAlign w:val="center"/>
            <w:hideMark/>
          </w:tcPr>
          <w:p w14:paraId="0EE41104" w14:textId="77777777" w:rsidR="00F60CCA" w:rsidRPr="005C13A5" w:rsidRDefault="00F60CCA" w:rsidP="00BB41F7">
            <w:pPr>
              <w:spacing w:after="0"/>
              <w:cnfStyle w:val="100000000000" w:firstRow="1" w:lastRow="0" w:firstColumn="0" w:lastColumn="0" w:oddVBand="0" w:evenVBand="0" w:oddHBand="0" w:evenHBand="0" w:firstRowFirstColumn="0" w:firstRowLastColumn="0" w:lastRowFirstColumn="0" w:lastRowLastColumn="0"/>
              <w:rPr>
                <w:rFonts w:ascii="Arial Narrow" w:hAnsi="Arial Narrow" w:cs="Times New Roman"/>
                <w:color w:val="FFFFFF" w:themeColor="background1"/>
                <w:sz w:val="20"/>
                <w:szCs w:val="20"/>
              </w:rPr>
            </w:pPr>
            <w:r w:rsidRPr="005C13A5">
              <w:rPr>
                <w:rFonts w:ascii="Arial Narrow" w:hAnsi="Arial Narrow" w:cs="Times New Roman"/>
                <w:color w:val="FFFFFF" w:themeColor="background1"/>
                <w:sz w:val="20"/>
                <w:szCs w:val="20"/>
              </w:rPr>
              <w:t>Description</w:t>
            </w:r>
          </w:p>
        </w:tc>
      </w:tr>
      <w:tr w:rsidR="00F60CCA" w:rsidRPr="00F60CCA" w14:paraId="37260684" w14:textId="77777777" w:rsidTr="00FA41F1">
        <w:trPr>
          <w:trHeight w:val="285"/>
          <w:jc w:val="center"/>
        </w:trPr>
        <w:tc>
          <w:tcPr>
            <w:cnfStyle w:val="001000000000" w:firstRow="0" w:lastRow="0" w:firstColumn="1" w:lastColumn="0" w:oddVBand="0" w:evenVBand="0" w:oddHBand="0" w:evenHBand="0" w:firstRowFirstColumn="0" w:firstRowLastColumn="0" w:lastRowFirstColumn="0" w:lastRowLastColumn="0"/>
            <w:tcW w:w="1620" w:type="dxa"/>
            <w:tcBorders>
              <w:top w:val="single" w:sz="4" w:space="0" w:color="auto"/>
            </w:tcBorders>
            <w:noWrap/>
            <w:vAlign w:val="center"/>
            <w:hideMark/>
          </w:tcPr>
          <w:p w14:paraId="2B4CE138" w14:textId="09CBD966" w:rsidR="00F60CCA" w:rsidRPr="00F60CCA" w:rsidRDefault="00FA41F1" w:rsidP="00BB41F7">
            <w:pPr>
              <w:spacing w:after="0"/>
              <w:jc w:val="center"/>
              <w:rPr>
                <w:rFonts w:ascii="Arial Narrow" w:hAnsi="Arial Narrow" w:cs="Times New Roman"/>
                <w:b w:val="0"/>
                <w:bCs w:val="0"/>
                <w:sz w:val="20"/>
                <w:szCs w:val="20"/>
              </w:rPr>
            </w:pPr>
            <w:r>
              <w:rPr>
                <w:rFonts w:ascii="Arial Narrow" w:hAnsi="Arial Narrow" w:cs="Times New Roman"/>
                <w:b w:val="0"/>
                <w:bCs w:val="0"/>
                <w:sz w:val="20"/>
                <w:szCs w:val="20"/>
              </w:rPr>
              <w:t>3</w:t>
            </w:r>
          </w:p>
        </w:tc>
        <w:tc>
          <w:tcPr>
            <w:tcW w:w="5661" w:type="dxa"/>
            <w:tcBorders>
              <w:top w:val="single" w:sz="4" w:space="0" w:color="auto"/>
            </w:tcBorders>
            <w:noWrap/>
            <w:vAlign w:val="center"/>
            <w:hideMark/>
          </w:tcPr>
          <w:p w14:paraId="3F68EBAC" w14:textId="3499CD33" w:rsidR="00F60CCA" w:rsidRPr="00F60CCA" w:rsidRDefault="00FA41F1" w:rsidP="00BB41F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cs="Times New Roman"/>
                <w:sz w:val="20"/>
                <w:szCs w:val="20"/>
              </w:rPr>
            </w:pPr>
            <w:r>
              <w:rPr>
                <w:rFonts w:ascii="Arial Narrow" w:hAnsi="Arial Narrow" w:cs="Times New Roman"/>
                <w:sz w:val="20"/>
                <w:szCs w:val="20"/>
              </w:rPr>
              <w:t>Individual Market (not sold on MHBE)</w:t>
            </w:r>
          </w:p>
        </w:tc>
      </w:tr>
      <w:tr w:rsidR="00FA41F1" w:rsidRPr="00F60CCA" w14:paraId="554334D9" w14:textId="77777777" w:rsidTr="00FA41F1">
        <w:trPr>
          <w:trHeight w:val="285"/>
          <w:jc w:val="center"/>
        </w:trPr>
        <w:tc>
          <w:tcPr>
            <w:cnfStyle w:val="001000000000" w:firstRow="0" w:lastRow="0" w:firstColumn="1" w:lastColumn="0" w:oddVBand="0" w:evenVBand="0" w:oddHBand="0" w:evenHBand="0" w:firstRowFirstColumn="0" w:firstRowLastColumn="0" w:lastRowFirstColumn="0" w:lastRowLastColumn="0"/>
            <w:tcW w:w="1620" w:type="dxa"/>
            <w:noWrap/>
            <w:vAlign w:val="center"/>
          </w:tcPr>
          <w:p w14:paraId="0A7DE4E9" w14:textId="34534174" w:rsidR="00FA41F1" w:rsidRPr="00F60CCA" w:rsidRDefault="00FA41F1" w:rsidP="00FA41F1">
            <w:pPr>
              <w:spacing w:after="0"/>
              <w:jc w:val="center"/>
              <w:rPr>
                <w:rFonts w:ascii="Arial Narrow" w:hAnsi="Arial Narrow"/>
                <w:b w:val="0"/>
                <w:bCs w:val="0"/>
                <w:sz w:val="20"/>
              </w:rPr>
            </w:pPr>
            <w:r w:rsidRPr="00F60CCA">
              <w:rPr>
                <w:rFonts w:ascii="Arial Narrow" w:hAnsi="Arial Narrow" w:cs="Times New Roman"/>
                <w:b w:val="0"/>
                <w:bCs w:val="0"/>
                <w:sz w:val="20"/>
                <w:szCs w:val="20"/>
              </w:rPr>
              <w:t>5</w:t>
            </w:r>
          </w:p>
        </w:tc>
        <w:tc>
          <w:tcPr>
            <w:tcW w:w="5661" w:type="dxa"/>
            <w:noWrap/>
            <w:vAlign w:val="center"/>
          </w:tcPr>
          <w:p w14:paraId="1AC36695" w14:textId="7902BEC0" w:rsidR="00FA41F1" w:rsidRPr="00F60CCA" w:rsidRDefault="00FA41F1" w:rsidP="00FA41F1">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sz w:val="20"/>
              </w:rPr>
            </w:pPr>
            <w:r w:rsidRPr="00F60CCA">
              <w:rPr>
                <w:rFonts w:ascii="Arial Narrow" w:hAnsi="Arial Narrow" w:cs="Times New Roman"/>
                <w:sz w:val="20"/>
                <w:szCs w:val="20"/>
              </w:rPr>
              <w:t>Private Employer Sponsored or Other Group</w:t>
            </w:r>
          </w:p>
        </w:tc>
      </w:tr>
      <w:tr w:rsidR="00FA41F1" w:rsidRPr="00F60CCA" w14:paraId="2B6B23B0" w14:textId="77777777" w:rsidTr="00FA41F1">
        <w:trPr>
          <w:trHeight w:val="285"/>
          <w:jc w:val="center"/>
        </w:trPr>
        <w:tc>
          <w:tcPr>
            <w:cnfStyle w:val="001000000000" w:firstRow="0" w:lastRow="0" w:firstColumn="1" w:lastColumn="0" w:oddVBand="0" w:evenVBand="0" w:oddHBand="0" w:evenHBand="0" w:firstRowFirstColumn="0" w:firstRowLastColumn="0" w:lastRowFirstColumn="0" w:lastRowLastColumn="0"/>
            <w:tcW w:w="1620" w:type="dxa"/>
            <w:noWrap/>
            <w:vAlign w:val="center"/>
            <w:hideMark/>
          </w:tcPr>
          <w:p w14:paraId="48D4D869" w14:textId="77777777" w:rsidR="00FA41F1" w:rsidRPr="00F60CCA" w:rsidRDefault="00FA41F1" w:rsidP="00FA41F1">
            <w:pPr>
              <w:spacing w:after="0"/>
              <w:jc w:val="center"/>
              <w:rPr>
                <w:rFonts w:ascii="Arial Narrow" w:hAnsi="Arial Narrow" w:cs="Times New Roman"/>
                <w:b w:val="0"/>
                <w:bCs w:val="0"/>
                <w:sz w:val="20"/>
                <w:szCs w:val="20"/>
              </w:rPr>
            </w:pPr>
            <w:r w:rsidRPr="00F60CCA">
              <w:rPr>
                <w:rFonts w:ascii="Arial Narrow" w:hAnsi="Arial Narrow" w:cs="Times New Roman"/>
                <w:b w:val="0"/>
                <w:bCs w:val="0"/>
                <w:sz w:val="20"/>
                <w:szCs w:val="20"/>
              </w:rPr>
              <w:t>6</w:t>
            </w:r>
          </w:p>
        </w:tc>
        <w:tc>
          <w:tcPr>
            <w:tcW w:w="5661" w:type="dxa"/>
            <w:noWrap/>
            <w:vAlign w:val="center"/>
            <w:hideMark/>
          </w:tcPr>
          <w:p w14:paraId="287F018C" w14:textId="77777777" w:rsidR="00FA41F1" w:rsidRPr="00F60CCA" w:rsidRDefault="00FA41F1" w:rsidP="00FA41F1">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cs="Times New Roman"/>
                <w:sz w:val="20"/>
                <w:szCs w:val="20"/>
              </w:rPr>
            </w:pPr>
            <w:r w:rsidRPr="00F60CCA">
              <w:rPr>
                <w:rFonts w:ascii="Arial Narrow" w:hAnsi="Arial Narrow" w:cs="Times New Roman"/>
                <w:sz w:val="20"/>
                <w:szCs w:val="20"/>
              </w:rPr>
              <w:t>Public Employee - Federal (FEHBP)</w:t>
            </w:r>
          </w:p>
        </w:tc>
      </w:tr>
      <w:tr w:rsidR="00FA41F1" w:rsidRPr="00F60CCA" w14:paraId="5FE3762D" w14:textId="77777777" w:rsidTr="00FA41F1">
        <w:trPr>
          <w:trHeight w:val="285"/>
          <w:jc w:val="center"/>
        </w:trPr>
        <w:tc>
          <w:tcPr>
            <w:cnfStyle w:val="001000000000" w:firstRow="0" w:lastRow="0" w:firstColumn="1" w:lastColumn="0" w:oddVBand="0" w:evenVBand="0" w:oddHBand="0" w:evenHBand="0" w:firstRowFirstColumn="0" w:firstRowLastColumn="0" w:lastRowFirstColumn="0" w:lastRowLastColumn="0"/>
            <w:tcW w:w="1620" w:type="dxa"/>
            <w:noWrap/>
            <w:vAlign w:val="center"/>
            <w:hideMark/>
          </w:tcPr>
          <w:p w14:paraId="4844E9E2" w14:textId="77777777" w:rsidR="00FA41F1" w:rsidRPr="00F60CCA" w:rsidRDefault="00FA41F1" w:rsidP="00FA41F1">
            <w:pPr>
              <w:spacing w:after="0"/>
              <w:jc w:val="center"/>
              <w:rPr>
                <w:rFonts w:ascii="Arial Narrow" w:hAnsi="Arial Narrow" w:cs="Times New Roman"/>
                <w:b w:val="0"/>
                <w:bCs w:val="0"/>
                <w:sz w:val="20"/>
                <w:szCs w:val="20"/>
              </w:rPr>
            </w:pPr>
            <w:r w:rsidRPr="00F60CCA">
              <w:rPr>
                <w:rFonts w:ascii="Arial Narrow" w:hAnsi="Arial Narrow" w:cs="Times New Roman"/>
                <w:b w:val="0"/>
                <w:bCs w:val="0"/>
                <w:sz w:val="20"/>
                <w:szCs w:val="20"/>
              </w:rPr>
              <w:t>7</w:t>
            </w:r>
          </w:p>
        </w:tc>
        <w:tc>
          <w:tcPr>
            <w:tcW w:w="5661" w:type="dxa"/>
            <w:noWrap/>
            <w:vAlign w:val="center"/>
            <w:hideMark/>
          </w:tcPr>
          <w:p w14:paraId="16CD5FDE" w14:textId="77777777" w:rsidR="00FA41F1" w:rsidRPr="00F60CCA" w:rsidRDefault="00FA41F1" w:rsidP="00FA41F1">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cs="Times New Roman"/>
                <w:sz w:val="20"/>
                <w:szCs w:val="20"/>
              </w:rPr>
            </w:pPr>
            <w:r w:rsidRPr="00F60CCA">
              <w:rPr>
                <w:rFonts w:ascii="Arial Narrow" w:hAnsi="Arial Narrow" w:cs="Times New Roman"/>
                <w:sz w:val="20"/>
                <w:szCs w:val="20"/>
              </w:rPr>
              <w:t>Public Employee – Other</w:t>
            </w:r>
          </w:p>
        </w:tc>
      </w:tr>
      <w:tr w:rsidR="00FA41F1" w:rsidRPr="00F60CCA" w14:paraId="0F82F5D9" w14:textId="77777777" w:rsidTr="00FA41F1">
        <w:trPr>
          <w:trHeight w:val="285"/>
          <w:jc w:val="center"/>
        </w:trPr>
        <w:tc>
          <w:tcPr>
            <w:cnfStyle w:val="001000000000" w:firstRow="0" w:lastRow="0" w:firstColumn="1" w:lastColumn="0" w:oddVBand="0" w:evenVBand="0" w:oddHBand="0" w:evenHBand="0" w:firstRowFirstColumn="0" w:firstRowLastColumn="0" w:lastRowFirstColumn="0" w:lastRowLastColumn="0"/>
            <w:tcW w:w="1620" w:type="dxa"/>
            <w:noWrap/>
            <w:vAlign w:val="center"/>
            <w:hideMark/>
          </w:tcPr>
          <w:p w14:paraId="343994D5" w14:textId="77777777" w:rsidR="00FA41F1" w:rsidRPr="00F60CCA" w:rsidRDefault="00FA41F1" w:rsidP="00FA41F1">
            <w:pPr>
              <w:spacing w:after="0"/>
              <w:jc w:val="center"/>
              <w:rPr>
                <w:rFonts w:ascii="Arial Narrow" w:hAnsi="Arial Narrow" w:cs="Times New Roman"/>
                <w:b w:val="0"/>
                <w:bCs w:val="0"/>
                <w:sz w:val="20"/>
                <w:szCs w:val="20"/>
              </w:rPr>
            </w:pPr>
            <w:r w:rsidRPr="00F60CCA">
              <w:rPr>
                <w:rFonts w:ascii="Arial Narrow" w:hAnsi="Arial Narrow" w:cs="Times New Roman"/>
                <w:b w:val="0"/>
                <w:bCs w:val="0"/>
                <w:sz w:val="20"/>
                <w:szCs w:val="20"/>
              </w:rPr>
              <w:t>8</w:t>
            </w:r>
          </w:p>
        </w:tc>
        <w:tc>
          <w:tcPr>
            <w:tcW w:w="5661" w:type="dxa"/>
            <w:noWrap/>
            <w:vAlign w:val="center"/>
            <w:hideMark/>
          </w:tcPr>
          <w:p w14:paraId="200F8C38" w14:textId="6882CCBD" w:rsidR="00FA41F1" w:rsidRPr="00F60CCA" w:rsidRDefault="00FA41F1" w:rsidP="00FA41F1">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cs="Times New Roman"/>
                <w:sz w:val="20"/>
                <w:szCs w:val="20"/>
              </w:rPr>
            </w:pPr>
            <w:r w:rsidRPr="00F60CCA">
              <w:rPr>
                <w:rFonts w:ascii="Arial Narrow" w:hAnsi="Arial Narrow" w:cs="Times New Roman"/>
                <w:sz w:val="20"/>
                <w:szCs w:val="20"/>
              </w:rPr>
              <w:t xml:space="preserve">Small Business </w:t>
            </w:r>
            <w:r>
              <w:rPr>
                <w:rFonts w:ascii="Arial Narrow" w:hAnsi="Arial Narrow" w:cs="Times New Roman"/>
                <w:sz w:val="20"/>
                <w:szCs w:val="20"/>
              </w:rPr>
              <w:t xml:space="preserve">Health </w:t>
            </w:r>
            <w:r w:rsidRPr="00F60CCA">
              <w:rPr>
                <w:rFonts w:ascii="Arial Narrow" w:hAnsi="Arial Narrow" w:cs="Times New Roman"/>
                <w:sz w:val="20"/>
                <w:szCs w:val="20"/>
              </w:rPr>
              <w:t>Options Program (SHOP) not sold on MHBE</w:t>
            </w:r>
          </w:p>
        </w:tc>
      </w:tr>
      <w:tr w:rsidR="00FA41F1" w:rsidRPr="00F60CCA" w14:paraId="5A2024E7" w14:textId="77777777" w:rsidTr="00FA41F1">
        <w:trPr>
          <w:trHeight w:val="285"/>
          <w:jc w:val="center"/>
        </w:trPr>
        <w:tc>
          <w:tcPr>
            <w:cnfStyle w:val="001000000000" w:firstRow="0" w:lastRow="0" w:firstColumn="1" w:lastColumn="0" w:oddVBand="0" w:evenVBand="0" w:oddHBand="0" w:evenHBand="0" w:firstRowFirstColumn="0" w:firstRowLastColumn="0" w:lastRowFirstColumn="0" w:lastRowLastColumn="0"/>
            <w:tcW w:w="1620" w:type="dxa"/>
            <w:noWrap/>
            <w:vAlign w:val="center"/>
          </w:tcPr>
          <w:p w14:paraId="5F8800E3" w14:textId="29C348E6" w:rsidR="00FA41F1" w:rsidRPr="00F60CCA" w:rsidRDefault="00FA41F1" w:rsidP="00FA41F1">
            <w:pPr>
              <w:spacing w:after="0"/>
              <w:jc w:val="center"/>
              <w:rPr>
                <w:rFonts w:ascii="Arial Narrow" w:hAnsi="Arial Narrow"/>
                <w:b w:val="0"/>
                <w:bCs w:val="0"/>
                <w:sz w:val="20"/>
              </w:rPr>
            </w:pPr>
            <w:r>
              <w:rPr>
                <w:rFonts w:ascii="Arial Narrow" w:hAnsi="Arial Narrow"/>
                <w:b w:val="0"/>
                <w:bCs w:val="0"/>
                <w:sz w:val="20"/>
              </w:rPr>
              <w:t>A</w:t>
            </w:r>
          </w:p>
        </w:tc>
        <w:tc>
          <w:tcPr>
            <w:tcW w:w="5661" w:type="dxa"/>
            <w:noWrap/>
            <w:vAlign w:val="center"/>
          </w:tcPr>
          <w:p w14:paraId="7F96E019" w14:textId="1D280B68" w:rsidR="00FA41F1" w:rsidRPr="00F60CCA" w:rsidRDefault="00FA41F1" w:rsidP="00FA41F1">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sz w:val="20"/>
              </w:rPr>
            </w:pPr>
            <w:r>
              <w:rPr>
                <w:rFonts w:ascii="Arial Narrow" w:hAnsi="Arial Narrow"/>
                <w:sz w:val="20"/>
              </w:rPr>
              <w:t>Student Health Plan</w:t>
            </w:r>
          </w:p>
        </w:tc>
      </w:tr>
      <w:tr w:rsidR="00FA41F1" w:rsidRPr="00F60CCA" w14:paraId="778C2141" w14:textId="77777777" w:rsidTr="00FA41F1">
        <w:trPr>
          <w:trHeight w:val="285"/>
          <w:jc w:val="center"/>
        </w:trPr>
        <w:tc>
          <w:tcPr>
            <w:cnfStyle w:val="001000000000" w:firstRow="0" w:lastRow="0" w:firstColumn="1" w:lastColumn="0" w:oddVBand="0" w:evenVBand="0" w:oddHBand="0" w:evenHBand="0" w:firstRowFirstColumn="0" w:firstRowLastColumn="0" w:lastRowFirstColumn="0" w:lastRowLastColumn="0"/>
            <w:tcW w:w="1620" w:type="dxa"/>
            <w:noWrap/>
            <w:vAlign w:val="center"/>
          </w:tcPr>
          <w:p w14:paraId="37D7FDCB" w14:textId="37078010" w:rsidR="00FA41F1" w:rsidRPr="00F60CCA" w:rsidRDefault="00FA41F1" w:rsidP="00FA41F1">
            <w:pPr>
              <w:spacing w:after="0"/>
              <w:jc w:val="center"/>
              <w:rPr>
                <w:rFonts w:ascii="Arial Narrow" w:hAnsi="Arial Narrow"/>
                <w:b w:val="0"/>
                <w:bCs w:val="0"/>
                <w:sz w:val="20"/>
              </w:rPr>
            </w:pPr>
            <w:r>
              <w:rPr>
                <w:rFonts w:ascii="Arial Narrow" w:hAnsi="Arial Narrow"/>
                <w:b w:val="0"/>
                <w:bCs w:val="0"/>
                <w:sz w:val="20"/>
              </w:rPr>
              <w:t>B</w:t>
            </w:r>
          </w:p>
        </w:tc>
        <w:tc>
          <w:tcPr>
            <w:tcW w:w="5661" w:type="dxa"/>
            <w:noWrap/>
            <w:vAlign w:val="center"/>
          </w:tcPr>
          <w:p w14:paraId="74302F1B" w14:textId="3589184E" w:rsidR="00FA41F1" w:rsidRPr="00F60CCA" w:rsidRDefault="00FA41F1" w:rsidP="00FA41F1">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sz w:val="20"/>
              </w:rPr>
            </w:pPr>
            <w:r>
              <w:rPr>
                <w:rFonts w:ascii="Arial Narrow" w:hAnsi="Arial Narrow"/>
                <w:sz w:val="20"/>
              </w:rPr>
              <w:t>Individual Market (sold on MHBE)</w:t>
            </w:r>
          </w:p>
        </w:tc>
      </w:tr>
      <w:tr w:rsidR="00FA41F1" w:rsidRPr="00F60CCA" w14:paraId="195A842E" w14:textId="77777777" w:rsidTr="00FA41F1">
        <w:trPr>
          <w:trHeight w:val="285"/>
          <w:jc w:val="center"/>
        </w:trPr>
        <w:tc>
          <w:tcPr>
            <w:cnfStyle w:val="001000000000" w:firstRow="0" w:lastRow="0" w:firstColumn="1" w:lastColumn="0" w:oddVBand="0" w:evenVBand="0" w:oddHBand="0" w:evenHBand="0" w:firstRowFirstColumn="0" w:firstRowLastColumn="0" w:lastRowFirstColumn="0" w:lastRowLastColumn="0"/>
            <w:tcW w:w="1620" w:type="dxa"/>
            <w:noWrap/>
            <w:vAlign w:val="center"/>
            <w:hideMark/>
          </w:tcPr>
          <w:p w14:paraId="2E1E2D78" w14:textId="77777777" w:rsidR="00FA41F1" w:rsidRPr="00F60CCA" w:rsidRDefault="00FA41F1" w:rsidP="00FA41F1">
            <w:pPr>
              <w:spacing w:after="0"/>
              <w:jc w:val="center"/>
              <w:rPr>
                <w:rFonts w:ascii="Arial Narrow" w:hAnsi="Arial Narrow" w:cs="Times New Roman"/>
                <w:b w:val="0"/>
                <w:bCs w:val="0"/>
                <w:sz w:val="20"/>
                <w:szCs w:val="20"/>
              </w:rPr>
            </w:pPr>
            <w:r w:rsidRPr="00F60CCA">
              <w:rPr>
                <w:rFonts w:ascii="Arial Narrow" w:hAnsi="Arial Narrow" w:cs="Times New Roman"/>
                <w:b w:val="0"/>
                <w:bCs w:val="0"/>
                <w:sz w:val="20"/>
                <w:szCs w:val="20"/>
              </w:rPr>
              <w:t>C</w:t>
            </w:r>
          </w:p>
        </w:tc>
        <w:tc>
          <w:tcPr>
            <w:tcW w:w="5661" w:type="dxa"/>
            <w:noWrap/>
            <w:vAlign w:val="center"/>
            <w:hideMark/>
          </w:tcPr>
          <w:p w14:paraId="56C331CE" w14:textId="578F321A" w:rsidR="00FA41F1" w:rsidRPr="00F60CCA" w:rsidRDefault="00FA41F1" w:rsidP="00FA41F1">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cs="Times New Roman"/>
                <w:sz w:val="20"/>
                <w:szCs w:val="20"/>
              </w:rPr>
            </w:pPr>
            <w:r w:rsidRPr="00F60CCA">
              <w:rPr>
                <w:rFonts w:ascii="Arial Narrow" w:hAnsi="Arial Narrow" w:cs="Times New Roman"/>
                <w:sz w:val="20"/>
                <w:szCs w:val="20"/>
              </w:rPr>
              <w:t xml:space="preserve">Small Business </w:t>
            </w:r>
            <w:r>
              <w:rPr>
                <w:rFonts w:ascii="Arial Narrow" w:hAnsi="Arial Narrow" w:cs="Times New Roman"/>
                <w:sz w:val="20"/>
                <w:szCs w:val="20"/>
              </w:rPr>
              <w:t xml:space="preserve">Health </w:t>
            </w:r>
            <w:r w:rsidRPr="00F60CCA">
              <w:rPr>
                <w:rFonts w:ascii="Arial Narrow" w:hAnsi="Arial Narrow" w:cs="Times New Roman"/>
                <w:sz w:val="20"/>
                <w:szCs w:val="20"/>
              </w:rPr>
              <w:t>Options Program (SHOP) sold on MHBE</w:t>
            </w:r>
          </w:p>
        </w:tc>
      </w:tr>
    </w:tbl>
    <w:p w14:paraId="79C183D1" w14:textId="77777777" w:rsidR="00F60CCA" w:rsidRPr="00FA41F1" w:rsidRDefault="00F60CCA" w:rsidP="00F60CCA">
      <w:pPr>
        <w:spacing w:after="0"/>
        <w:ind w:left="720"/>
        <w:rPr>
          <w:szCs w:val="22"/>
        </w:rPr>
      </w:pPr>
    </w:p>
    <w:p w14:paraId="16D044CD" w14:textId="0B61DCB2" w:rsidR="00FA41F1" w:rsidRPr="003B7391" w:rsidRDefault="00FA41F1" w:rsidP="003B7391">
      <w:pPr>
        <w:spacing w:after="120"/>
        <w:ind w:left="720"/>
        <w:rPr>
          <w:rFonts w:eastAsiaTheme="minorHAnsi"/>
          <w:szCs w:val="22"/>
        </w:rPr>
      </w:pPr>
      <w:r w:rsidRPr="003B7391">
        <w:rPr>
          <w:rFonts w:eastAsiaTheme="minorHAnsi"/>
          <w:szCs w:val="22"/>
        </w:rPr>
        <w:t xml:space="preserve">Individual </w:t>
      </w:r>
      <w:r w:rsidR="00AC41BF">
        <w:rPr>
          <w:rFonts w:eastAsiaTheme="minorHAnsi"/>
          <w:szCs w:val="22"/>
        </w:rPr>
        <w:t xml:space="preserve">and ASO </w:t>
      </w:r>
      <w:r w:rsidRPr="003B7391">
        <w:rPr>
          <w:rFonts w:eastAsiaTheme="minorHAnsi"/>
          <w:szCs w:val="22"/>
        </w:rPr>
        <w:t xml:space="preserve">experience is excluded for the purpose of reconciliation to financial statements (see below). </w:t>
      </w:r>
      <w:r w:rsidR="00734AA2">
        <w:rPr>
          <w:rFonts w:eastAsiaTheme="minorHAnsi"/>
          <w:szCs w:val="22"/>
        </w:rPr>
        <w:t>N</w:t>
      </w:r>
      <w:r w:rsidRPr="003B7391">
        <w:rPr>
          <w:rFonts w:eastAsiaTheme="minorHAnsi"/>
          <w:szCs w:val="22"/>
        </w:rPr>
        <w:t xml:space="preserve">on-commercial </w:t>
      </w:r>
      <w:r w:rsidR="00734AA2">
        <w:rPr>
          <w:rFonts w:eastAsiaTheme="minorHAnsi"/>
          <w:szCs w:val="22"/>
        </w:rPr>
        <w:t xml:space="preserve">and non-individual </w:t>
      </w:r>
      <w:r w:rsidRPr="003B7391">
        <w:rPr>
          <w:rFonts w:eastAsiaTheme="minorHAnsi"/>
          <w:szCs w:val="22"/>
        </w:rPr>
        <w:t>benefit plans are excluded: Medicaid, Medicare Advantage, and Medicare Supplement. Additionally, we understand that some self-funded employers do not submit experience data to the Maryland APCD, and therefore will not be included in our summaries.</w:t>
      </w:r>
    </w:p>
    <w:p w14:paraId="4EEC3D65" w14:textId="77777777" w:rsidR="00FA41F1" w:rsidRPr="003B7391" w:rsidRDefault="00FA41F1" w:rsidP="003B7391">
      <w:pPr>
        <w:spacing w:after="120"/>
        <w:ind w:left="720"/>
        <w:rPr>
          <w:rFonts w:eastAsiaTheme="minorHAnsi"/>
          <w:szCs w:val="22"/>
        </w:rPr>
      </w:pPr>
      <w:r w:rsidRPr="003B7391">
        <w:rPr>
          <w:rFonts w:eastAsiaTheme="minorHAnsi"/>
          <w:szCs w:val="22"/>
        </w:rPr>
        <w:t>At the request of HSCRC, we also excluded FEHBP (COVTYPE_E_EDT = “6”) for Aetna Health, Inc. and Aetna Life Insurance Co. The HSCRC requested we exclude this experience because Aetna stopped reporting FEHBP data to the APCD from October 2017 onward, and therefore the available Aetna FEHBP experience was incomplete.</w:t>
      </w:r>
    </w:p>
    <w:p w14:paraId="7E93388D" w14:textId="018B0052" w:rsidR="00F60CCA" w:rsidRPr="00F60CCA" w:rsidRDefault="00F60CCA">
      <w:pPr>
        <w:pStyle w:val="ListParagraph"/>
        <w:numPr>
          <w:ilvl w:val="0"/>
          <w:numId w:val="30"/>
        </w:numPr>
        <w:spacing w:after="120" w:line="240" w:lineRule="auto"/>
        <w:contextualSpacing w:val="0"/>
        <w:rPr>
          <w:rFonts w:ascii="Times New Roman" w:hAnsi="Times New Roman" w:cs="Times New Roman"/>
        </w:rPr>
      </w:pPr>
      <w:r w:rsidRPr="00FA41F1">
        <w:rPr>
          <w:rFonts w:ascii="Times New Roman" w:hAnsi="Times New Roman" w:cs="Times New Roman"/>
          <w:b/>
        </w:rPr>
        <w:t>Reconciliation and validation of APCD:</w:t>
      </w:r>
      <w:r w:rsidR="00AB34A0" w:rsidRPr="00FA41F1">
        <w:rPr>
          <w:rFonts w:ascii="Times New Roman" w:hAnsi="Times New Roman" w:cs="Times New Roman"/>
        </w:rPr>
        <w:t xml:space="preserve"> Milliman</w:t>
      </w:r>
      <w:r w:rsidRPr="00F60CCA">
        <w:rPr>
          <w:rFonts w:ascii="Times New Roman" w:hAnsi="Times New Roman" w:cs="Times New Roman"/>
        </w:rPr>
        <w:t xml:space="preserve"> reviewed the APCD for reasonableness and checked the medical code values for validity and consistency with current coding standards.</w:t>
      </w:r>
      <w:r w:rsidR="00AB34A0">
        <w:rPr>
          <w:rFonts w:ascii="Times New Roman" w:hAnsi="Times New Roman" w:cs="Times New Roman"/>
        </w:rPr>
        <w:t xml:space="preserve"> Milliman</w:t>
      </w:r>
      <w:r w:rsidRPr="00F60CCA">
        <w:rPr>
          <w:rFonts w:ascii="Times New Roman" w:hAnsi="Times New Roman" w:cs="Times New Roman"/>
        </w:rPr>
        <w:t xml:space="preserve"> did not audit the APCD. To reconcile the APCD, </w:t>
      </w:r>
      <w:r w:rsidR="00AB34A0">
        <w:rPr>
          <w:rFonts w:ascii="Times New Roman" w:hAnsi="Times New Roman" w:cs="Times New Roman"/>
        </w:rPr>
        <w:t>Milliman</w:t>
      </w:r>
      <w:r w:rsidRPr="00F60CCA">
        <w:rPr>
          <w:rFonts w:ascii="Times New Roman" w:hAnsi="Times New Roman" w:cs="Times New Roman"/>
        </w:rPr>
        <w:t xml:space="preserve"> compared the commercial enrollment and paid claim cost amounts for each APCD contributor to readily available M</w:t>
      </w:r>
      <w:r w:rsidR="00F0683C">
        <w:rPr>
          <w:rFonts w:ascii="Times New Roman" w:hAnsi="Times New Roman" w:cs="Times New Roman"/>
        </w:rPr>
        <w:t>D</w:t>
      </w:r>
      <w:r w:rsidRPr="00F60CCA">
        <w:rPr>
          <w:rFonts w:ascii="Times New Roman" w:hAnsi="Times New Roman" w:cs="Times New Roman"/>
        </w:rPr>
        <w:t xml:space="preserve"> financial statement reports. </w:t>
      </w:r>
      <w:r w:rsidR="00AB34A0">
        <w:rPr>
          <w:rFonts w:ascii="Times New Roman" w:hAnsi="Times New Roman" w:cs="Times New Roman"/>
        </w:rPr>
        <w:t xml:space="preserve">Milliman </w:t>
      </w:r>
      <w:r w:rsidRPr="00F60CCA">
        <w:rPr>
          <w:rFonts w:ascii="Times New Roman" w:hAnsi="Times New Roman" w:cs="Times New Roman"/>
        </w:rPr>
        <w:t>worked with HSCRC to exclude payers with incomplete or invalid APCD submissions.</w:t>
      </w:r>
    </w:p>
    <w:p w14:paraId="2FDD2AA7" w14:textId="39951088" w:rsidR="00E31166" w:rsidRPr="00F60CCA" w:rsidRDefault="00F60CCA" w:rsidP="00E31166">
      <w:pPr>
        <w:pStyle w:val="ListParagraph"/>
        <w:numPr>
          <w:ilvl w:val="0"/>
          <w:numId w:val="30"/>
        </w:numPr>
        <w:spacing w:after="120" w:line="240" w:lineRule="auto"/>
        <w:contextualSpacing w:val="0"/>
        <w:rPr>
          <w:rFonts w:ascii="Times New Roman" w:hAnsi="Times New Roman" w:cs="Times New Roman"/>
        </w:rPr>
      </w:pPr>
      <w:r w:rsidRPr="00F60CCA">
        <w:rPr>
          <w:rFonts w:ascii="Times New Roman" w:hAnsi="Times New Roman" w:cs="Times New Roman"/>
          <w:b/>
        </w:rPr>
        <w:t>Complete</w:t>
      </w:r>
      <w:r w:rsidR="00F0683C">
        <w:rPr>
          <w:rFonts w:ascii="Times New Roman" w:hAnsi="Times New Roman" w:cs="Times New Roman"/>
          <w:b/>
        </w:rPr>
        <w:t>d</w:t>
      </w:r>
      <w:r w:rsidRPr="00F60CCA">
        <w:rPr>
          <w:rFonts w:ascii="Times New Roman" w:hAnsi="Times New Roman" w:cs="Times New Roman"/>
          <w:b/>
        </w:rPr>
        <w:t xml:space="preserve"> the APCD for IBNR:</w:t>
      </w:r>
      <w:r w:rsidRPr="00F60CCA">
        <w:rPr>
          <w:rFonts w:ascii="Times New Roman" w:hAnsi="Times New Roman" w:cs="Times New Roman"/>
        </w:rPr>
        <w:t xml:space="preserve"> Calculate</w:t>
      </w:r>
      <w:r w:rsidR="00F0683C">
        <w:rPr>
          <w:rFonts w:ascii="Times New Roman" w:hAnsi="Times New Roman" w:cs="Times New Roman"/>
        </w:rPr>
        <w:t>d</w:t>
      </w:r>
      <w:r w:rsidRPr="00F60CCA">
        <w:rPr>
          <w:rFonts w:ascii="Times New Roman" w:hAnsi="Times New Roman" w:cs="Times New Roman"/>
        </w:rPr>
        <w:t xml:space="preserve"> and appl</w:t>
      </w:r>
      <w:r w:rsidR="00F0683C">
        <w:rPr>
          <w:rFonts w:ascii="Times New Roman" w:hAnsi="Times New Roman" w:cs="Times New Roman"/>
        </w:rPr>
        <w:t>ied</w:t>
      </w:r>
      <w:r w:rsidRPr="00F60CCA">
        <w:rPr>
          <w:rFonts w:ascii="Times New Roman" w:hAnsi="Times New Roman" w:cs="Times New Roman"/>
        </w:rPr>
        <w:t xml:space="preserve"> completion factors for IBNR amounts. The CY </w:t>
      </w:r>
      <w:r w:rsidR="00AC41BF" w:rsidRPr="00F60CCA">
        <w:rPr>
          <w:rFonts w:ascii="Times New Roman" w:hAnsi="Times New Roman" w:cs="Times New Roman"/>
        </w:rPr>
        <w:t>201</w:t>
      </w:r>
      <w:r w:rsidR="00AC41BF">
        <w:rPr>
          <w:rFonts w:ascii="Times New Roman" w:hAnsi="Times New Roman" w:cs="Times New Roman"/>
        </w:rPr>
        <w:t>8</w:t>
      </w:r>
      <w:r w:rsidR="00AC41BF" w:rsidRPr="00F60CCA">
        <w:rPr>
          <w:rFonts w:ascii="Times New Roman" w:hAnsi="Times New Roman" w:cs="Times New Roman"/>
        </w:rPr>
        <w:t xml:space="preserve"> </w:t>
      </w:r>
      <w:r w:rsidRPr="00F60CCA">
        <w:rPr>
          <w:rFonts w:ascii="Times New Roman" w:hAnsi="Times New Roman" w:cs="Times New Roman"/>
        </w:rPr>
        <w:t>APCD ha</w:t>
      </w:r>
      <w:r w:rsidR="00F0683C">
        <w:rPr>
          <w:rFonts w:ascii="Times New Roman" w:hAnsi="Times New Roman" w:cs="Times New Roman"/>
        </w:rPr>
        <w:t>d</w:t>
      </w:r>
      <w:r w:rsidRPr="00F60CCA">
        <w:rPr>
          <w:rFonts w:ascii="Times New Roman" w:hAnsi="Times New Roman" w:cs="Times New Roman"/>
        </w:rPr>
        <w:t xml:space="preserve"> three months of runout, so </w:t>
      </w:r>
      <w:r w:rsidR="00AB34A0">
        <w:rPr>
          <w:rFonts w:ascii="Times New Roman" w:hAnsi="Times New Roman" w:cs="Times New Roman"/>
        </w:rPr>
        <w:t>Milliman</w:t>
      </w:r>
      <w:r w:rsidRPr="00F60CCA">
        <w:rPr>
          <w:rFonts w:ascii="Times New Roman" w:hAnsi="Times New Roman" w:cs="Times New Roman"/>
        </w:rPr>
        <w:t xml:space="preserve"> reviewed the completion patterns for the </w:t>
      </w:r>
      <w:r w:rsidR="00AC41BF" w:rsidRPr="00F60CCA">
        <w:rPr>
          <w:rFonts w:ascii="Times New Roman" w:hAnsi="Times New Roman" w:cs="Times New Roman"/>
        </w:rPr>
        <w:t>201</w:t>
      </w:r>
      <w:r w:rsidR="00AC41BF">
        <w:rPr>
          <w:rFonts w:ascii="Times New Roman" w:hAnsi="Times New Roman" w:cs="Times New Roman"/>
        </w:rPr>
        <w:t>7</w:t>
      </w:r>
      <w:r w:rsidR="00AC41BF" w:rsidRPr="00F60CCA">
        <w:rPr>
          <w:rFonts w:ascii="Times New Roman" w:hAnsi="Times New Roman" w:cs="Times New Roman"/>
        </w:rPr>
        <w:t xml:space="preserve"> </w:t>
      </w:r>
      <w:r w:rsidRPr="00F60CCA">
        <w:rPr>
          <w:rFonts w:ascii="Times New Roman" w:hAnsi="Times New Roman" w:cs="Times New Roman"/>
        </w:rPr>
        <w:t xml:space="preserve">and </w:t>
      </w:r>
      <w:r w:rsidR="00AC41BF" w:rsidRPr="00F60CCA">
        <w:rPr>
          <w:rFonts w:ascii="Times New Roman" w:hAnsi="Times New Roman" w:cs="Times New Roman"/>
        </w:rPr>
        <w:t>201</w:t>
      </w:r>
      <w:r w:rsidR="00AC41BF">
        <w:rPr>
          <w:rFonts w:ascii="Times New Roman" w:hAnsi="Times New Roman" w:cs="Times New Roman"/>
        </w:rPr>
        <w:t>8</w:t>
      </w:r>
      <w:r w:rsidR="00AC41BF" w:rsidRPr="00F60CCA">
        <w:rPr>
          <w:rFonts w:ascii="Times New Roman" w:hAnsi="Times New Roman" w:cs="Times New Roman"/>
        </w:rPr>
        <w:t xml:space="preserve"> </w:t>
      </w:r>
      <w:r w:rsidRPr="00F60CCA">
        <w:rPr>
          <w:rFonts w:ascii="Times New Roman" w:hAnsi="Times New Roman" w:cs="Times New Roman"/>
        </w:rPr>
        <w:t xml:space="preserve">APCD datasets and developed an overall </w:t>
      </w:r>
      <w:r w:rsidR="00AC41BF">
        <w:rPr>
          <w:rFonts w:ascii="Times New Roman" w:hAnsi="Times New Roman" w:cs="Times New Roman"/>
        </w:rPr>
        <w:t xml:space="preserve">CY 2018 </w:t>
      </w:r>
      <w:r w:rsidRPr="00F60CCA">
        <w:rPr>
          <w:rFonts w:ascii="Times New Roman" w:hAnsi="Times New Roman" w:cs="Times New Roman"/>
        </w:rPr>
        <w:t xml:space="preserve">completion factor of </w:t>
      </w:r>
      <w:r w:rsidRPr="00F60CCA">
        <w:rPr>
          <w:rFonts w:ascii="Times New Roman" w:hAnsi="Times New Roman" w:cs="Times New Roman"/>
        </w:rPr>
        <w:lastRenderedPageBreak/>
        <w:t>0.</w:t>
      </w:r>
      <w:r w:rsidR="00AC41BF" w:rsidRPr="00F60CCA">
        <w:rPr>
          <w:rFonts w:ascii="Times New Roman" w:hAnsi="Times New Roman" w:cs="Times New Roman"/>
        </w:rPr>
        <w:t>98</w:t>
      </w:r>
      <w:r w:rsidR="00AC41BF">
        <w:rPr>
          <w:rFonts w:ascii="Times New Roman" w:hAnsi="Times New Roman" w:cs="Times New Roman"/>
        </w:rPr>
        <w:t>35</w:t>
      </w:r>
      <w:r w:rsidR="00AC41BF" w:rsidRPr="00F60CCA">
        <w:rPr>
          <w:rFonts w:ascii="Times New Roman" w:hAnsi="Times New Roman" w:cs="Times New Roman"/>
        </w:rPr>
        <w:t xml:space="preserve"> </w:t>
      </w:r>
      <w:r w:rsidRPr="00F60CCA">
        <w:rPr>
          <w:rFonts w:ascii="Times New Roman" w:hAnsi="Times New Roman" w:cs="Times New Roman"/>
        </w:rPr>
        <w:t xml:space="preserve">(i.e. </w:t>
      </w:r>
      <w:r w:rsidR="00AB34A0">
        <w:rPr>
          <w:rFonts w:ascii="Times New Roman" w:hAnsi="Times New Roman" w:cs="Times New Roman"/>
        </w:rPr>
        <w:t xml:space="preserve">Milliman </w:t>
      </w:r>
      <w:r w:rsidRPr="00F60CCA">
        <w:rPr>
          <w:rFonts w:ascii="Times New Roman" w:hAnsi="Times New Roman" w:cs="Times New Roman"/>
        </w:rPr>
        <w:t>estimate</w:t>
      </w:r>
      <w:r w:rsidR="00AB34A0">
        <w:rPr>
          <w:rFonts w:ascii="Times New Roman" w:hAnsi="Times New Roman" w:cs="Times New Roman"/>
        </w:rPr>
        <w:t>d</w:t>
      </w:r>
      <w:r w:rsidRPr="00F60CCA">
        <w:rPr>
          <w:rFonts w:ascii="Times New Roman" w:hAnsi="Times New Roman" w:cs="Times New Roman"/>
        </w:rPr>
        <w:t xml:space="preserve"> that the data </w:t>
      </w:r>
      <w:r w:rsidR="00AB34A0">
        <w:rPr>
          <w:rFonts w:ascii="Times New Roman" w:hAnsi="Times New Roman" w:cs="Times New Roman"/>
        </w:rPr>
        <w:t>wa</w:t>
      </w:r>
      <w:r w:rsidRPr="00F60CCA">
        <w:rPr>
          <w:rFonts w:ascii="Times New Roman" w:hAnsi="Times New Roman" w:cs="Times New Roman"/>
        </w:rPr>
        <w:t>s 98.</w:t>
      </w:r>
      <w:r w:rsidR="00AC41BF">
        <w:rPr>
          <w:rFonts w:ascii="Times New Roman" w:hAnsi="Times New Roman" w:cs="Times New Roman"/>
        </w:rPr>
        <w:t>3</w:t>
      </w:r>
      <w:r w:rsidRPr="00F60CCA">
        <w:rPr>
          <w:rFonts w:ascii="Times New Roman" w:hAnsi="Times New Roman" w:cs="Times New Roman"/>
        </w:rPr>
        <w:t>5% complete).</w:t>
      </w:r>
      <w:r w:rsidR="00AB34A0">
        <w:rPr>
          <w:rFonts w:ascii="Times New Roman" w:hAnsi="Times New Roman" w:cs="Times New Roman"/>
        </w:rPr>
        <w:t xml:space="preserve"> Milliman</w:t>
      </w:r>
      <w:r w:rsidRPr="00F60CCA">
        <w:rPr>
          <w:rFonts w:ascii="Times New Roman" w:hAnsi="Times New Roman" w:cs="Times New Roman"/>
        </w:rPr>
        <w:t xml:space="preserve"> applied the completion factors to the allowed, utilization, and RVU amounts. </w:t>
      </w:r>
    </w:p>
    <w:p w14:paraId="2CD64FF1" w14:textId="42682DD4" w:rsidR="00F60CCA" w:rsidRPr="00F60CCA" w:rsidRDefault="00F60CCA" w:rsidP="00F60CCA">
      <w:pPr>
        <w:rPr>
          <w:szCs w:val="22"/>
        </w:rPr>
      </w:pPr>
      <w:r>
        <w:rPr>
          <w:szCs w:val="22"/>
        </w:rPr>
        <w:t>M</w:t>
      </w:r>
      <w:r w:rsidRPr="00F60CCA">
        <w:rPr>
          <w:szCs w:val="22"/>
        </w:rPr>
        <w:t xml:space="preserve">ajor defects </w:t>
      </w:r>
      <w:r w:rsidR="00AB34A0">
        <w:rPr>
          <w:szCs w:val="22"/>
        </w:rPr>
        <w:t>Milliman</w:t>
      </w:r>
      <w:r w:rsidRPr="00F60CCA">
        <w:rPr>
          <w:szCs w:val="22"/>
        </w:rPr>
        <w:t xml:space="preserve"> found with the APCD</w:t>
      </w:r>
      <w:r>
        <w:rPr>
          <w:szCs w:val="22"/>
        </w:rPr>
        <w:t xml:space="preserve"> and their workarounds were:</w:t>
      </w:r>
    </w:p>
    <w:p w14:paraId="34C58E25" w14:textId="367A4CDC" w:rsidR="00F60CCA" w:rsidRPr="00F60CCA" w:rsidRDefault="00F60CCA" w:rsidP="00F0683C">
      <w:pPr>
        <w:pStyle w:val="ListParagraph"/>
        <w:numPr>
          <w:ilvl w:val="0"/>
          <w:numId w:val="34"/>
        </w:numPr>
        <w:spacing w:after="120" w:line="240" w:lineRule="auto"/>
        <w:contextualSpacing w:val="0"/>
        <w:rPr>
          <w:rFonts w:ascii="Times New Roman" w:hAnsi="Times New Roman" w:cs="Times New Roman"/>
          <w:b/>
        </w:rPr>
      </w:pPr>
      <w:r w:rsidRPr="00F60CCA">
        <w:rPr>
          <w:rFonts w:ascii="Times New Roman" w:hAnsi="Times New Roman" w:cs="Times New Roman"/>
          <w:b/>
        </w:rPr>
        <w:t xml:space="preserve">Incomplete data for some contributors: </w:t>
      </w:r>
      <w:r w:rsidRPr="00F60CCA">
        <w:rPr>
          <w:rFonts w:ascii="Times New Roman" w:hAnsi="Times New Roman" w:cs="Times New Roman"/>
        </w:rPr>
        <w:t xml:space="preserve">As discussed above, </w:t>
      </w:r>
      <w:r w:rsidR="00AB34A0">
        <w:rPr>
          <w:rFonts w:ascii="Times New Roman" w:hAnsi="Times New Roman" w:cs="Times New Roman"/>
        </w:rPr>
        <w:t>Milliman</w:t>
      </w:r>
      <w:r w:rsidRPr="00F60CCA">
        <w:rPr>
          <w:rFonts w:ascii="Times New Roman" w:hAnsi="Times New Roman" w:cs="Times New Roman"/>
        </w:rPr>
        <w:t xml:space="preserve"> compared the commercial membership and costs for each contributor to readily available financial reports. </w:t>
      </w:r>
      <w:r w:rsidR="00AB34A0">
        <w:rPr>
          <w:rFonts w:ascii="Times New Roman" w:hAnsi="Times New Roman" w:cs="Times New Roman"/>
        </w:rPr>
        <w:t>Milliman</w:t>
      </w:r>
      <w:r w:rsidRPr="00F60CCA">
        <w:rPr>
          <w:rFonts w:ascii="Times New Roman" w:hAnsi="Times New Roman" w:cs="Times New Roman"/>
        </w:rPr>
        <w:t xml:space="preserve"> worked with the HSCRC to review inconsistencies and HSCRC determined the final set of payers’ APCD experience to include.</w:t>
      </w:r>
    </w:p>
    <w:p w14:paraId="32DADD0E" w14:textId="26A80BFF" w:rsidR="00E31166" w:rsidRPr="003B7391" w:rsidRDefault="00E31166" w:rsidP="003B7391">
      <w:pPr>
        <w:pStyle w:val="ListParagraph"/>
        <w:numPr>
          <w:ilvl w:val="0"/>
          <w:numId w:val="34"/>
        </w:numPr>
        <w:spacing w:after="120" w:line="240" w:lineRule="auto"/>
        <w:contextualSpacing w:val="0"/>
        <w:rPr>
          <w:rFonts w:ascii="Times New Roman" w:hAnsi="Times New Roman" w:cs="Times New Roman"/>
        </w:rPr>
      </w:pPr>
      <w:r w:rsidRPr="00E31166">
        <w:rPr>
          <w:rFonts w:ascii="Times New Roman" w:hAnsi="Times New Roman" w:cs="Times New Roman"/>
          <w:b/>
        </w:rPr>
        <w:t xml:space="preserve">CareFirst reconciliation: </w:t>
      </w:r>
      <w:r w:rsidRPr="003B7391">
        <w:rPr>
          <w:rFonts w:ascii="Times New Roman" w:hAnsi="Times New Roman" w:cs="Times New Roman"/>
        </w:rPr>
        <w:t>CareFirst’s APCD experience (including the data for CareFirst of Maryland, Inc. and Group Hospitalization &amp; Medical Services, Inc.) does not reconcile to their National Association of Insurance Commissioners (NAIC) Annual Statement for the Year 2018 or their NAIC 2018 Supplemental Health Care Exhibit Report.  For CareFirst of Maryland Inc. and Group Hospitalization and Medical Services Inc. contributors to the APCD, the total paid dollars reported in the APCD are approximately 28% lower than the paid amounts in the NAIC Annual Statement after accounting for prescription drug rebates.  These two CareFirst organizations represent almost half of the total paid dollars included in the APCD and the results in this report are sensitive to errors contained in this data. As of the time of this report</w:t>
      </w:r>
      <w:r w:rsidR="000C0212">
        <w:rPr>
          <w:rFonts w:ascii="Times New Roman" w:hAnsi="Times New Roman" w:cs="Times New Roman"/>
        </w:rPr>
        <w:t>’</w:t>
      </w:r>
      <w:r w:rsidRPr="003B7391">
        <w:rPr>
          <w:rFonts w:ascii="Times New Roman" w:hAnsi="Times New Roman" w:cs="Times New Roman"/>
        </w:rPr>
        <w:t xml:space="preserve">s </w:t>
      </w:r>
      <w:r w:rsidR="000C0212">
        <w:rPr>
          <w:rFonts w:ascii="Times New Roman" w:hAnsi="Times New Roman" w:cs="Times New Roman"/>
        </w:rPr>
        <w:t>publication</w:t>
      </w:r>
      <w:r w:rsidRPr="003B7391">
        <w:rPr>
          <w:rFonts w:ascii="Times New Roman" w:hAnsi="Times New Roman" w:cs="Times New Roman"/>
        </w:rPr>
        <w:t>, HSCRC continues to investigate the difference between the APCD and these reports and has instructed us to rely on the APCD.</w:t>
      </w:r>
    </w:p>
    <w:p w14:paraId="3DC3A55C" w14:textId="77777777" w:rsidR="00AC41BF" w:rsidRDefault="00E31166" w:rsidP="003B7391">
      <w:pPr>
        <w:pStyle w:val="ListParagraph"/>
        <w:numPr>
          <w:ilvl w:val="0"/>
          <w:numId w:val="34"/>
        </w:numPr>
        <w:spacing w:after="120" w:line="240" w:lineRule="auto"/>
        <w:contextualSpacing w:val="0"/>
        <w:rPr>
          <w:rFonts w:ascii="Times New Roman" w:hAnsi="Times New Roman" w:cs="Times New Roman"/>
        </w:rPr>
      </w:pPr>
      <w:r w:rsidRPr="00E31166">
        <w:rPr>
          <w:rFonts w:ascii="Times New Roman" w:hAnsi="Times New Roman" w:cs="Times New Roman"/>
          <w:b/>
        </w:rPr>
        <w:t>United membership improperly assigned:</w:t>
      </w:r>
      <w:r w:rsidRPr="003B7391">
        <w:rPr>
          <w:rFonts w:ascii="Times New Roman" w:hAnsi="Times New Roman" w:cs="Times New Roman"/>
        </w:rPr>
        <w:t xml:space="preserve"> The member identifiers are inconsistent for United Healthcare members throughout the data period.  United HealthCare is made up of the following payers in the APCD: UnitedHealthcare Insurance, United Healthcare of the Mid-Atlantic, MAMSI Life and Health Insurance, and Optimum Choice. For the purposes of matching enrollment records to claims, the </w:t>
      </w:r>
      <w:r w:rsidR="00183665" w:rsidRPr="00183665">
        <w:rPr>
          <w:rFonts w:ascii="Times New Roman" w:hAnsi="Times New Roman" w:cs="Times New Roman"/>
        </w:rPr>
        <w:t>concatenated payer-encrypted enrollee identification number, birth date, and gender</w:t>
      </w:r>
      <w:r w:rsidRPr="003B7391">
        <w:rPr>
          <w:rFonts w:ascii="Times New Roman" w:hAnsi="Times New Roman" w:cs="Times New Roman"/>
        </w:rPr>
        <w:t xml:space="preserve"> (</w:t>
      </w:r>
      <w:r w:rsidR="00183665">
        <w:rPr>
          <w:rFonts w:ascii="Times New Roman" w:hAnsi="Times New Roman" w:cs="Times New Roman"/>
        </w:rPr>
        <w:t>PIDBDGP</w:t>
      </w:r>
      <w:r w:rsidRPr="003B7391">
        <w:rPr>
          <w:rFonts w:ascii="Times New Roman" w:hAnsi="Times New Roman" w:cs="Times New Roman"/>
        </w:rPr>
        <w:t xml:space="preserve">) is used because it is present in both the APCD eligibility and claims files. To create consistent member identifier over time, we updated the </w:t>
      </w:r>
      <w:r w:rsidR="00825E91">
        <w:rPr>
          <w:rFonts w:ascii="Times New Roman" w:hAnsi="Times New Roman" w:cs="Times New Roman"/>
        </w:rPr>
        <w:t>“</w:t>
      </w:r>
      <w:r w:rsidR="00183665">
        <w:rPr>
          <w:rFonts w:ascii="Times New Roman" w:hAnsi="Times New Roman" w:cs="Times New Roman"/>
        </w:rPr>
        <w:t>PIDBDGP</w:t>
      </w:r>
      <w:r w:rsidR="00825E91">
        <w:rPr>
          <w:rFonts w:ascii="Times New Roman" w:hAnsi="Times New Roman" w:cs="Times New Roman"/>
        </w:rPr>
        <w:t>”</w:t>
      </w:r>
      <w:r w:rsidR="00183665" w:rsidRPr="00183665">
        <w:rPr>
          <w:rFonts w:ascii="Times New Roman" w:hAnsi="Times New Roman" w:cs="Times New Roman"/>
        </w:rPr>
        <w:t xml:space="preserve"> </w:t>
      </w:r>
      <w:r w:rsidRPr="003B7391">
        <w:rPr>
          <w:rFonts w:ascii="Times New Roman" w:hAnsi="Times New Roman" w:cs="Times New Roman"/>
        </w:rPr>
        <w:t xml:space="preserve">identifier values using the Maryland Unique Patient Identifier (MUID) field, present only on the APCD eligibility file.  Before correcting the inconsistent member identifiers, $292 million in medical claims did not have a corresponding member eligibility record.  After updating the </w:t>
      </w:r>
      <w:r w:rsidR="00825E91">
        <w:rPr>
          <w:rFonts w:ascii="Times New Roman" w:hAnsi="Times New Roman" w:cs="Times New Roman"/>
        </w:rPr>
        <w:t>“</w:t>
      </w:r>
      <w:r w:rsidR="00183665">
        <w:rPr>
          <w:rFonts w:ascii="Times New Roman" w:hAnsi="Times New Roman" w:cs="Times New Roman"/>
        </w:rPr>
        <w:t>PIDBDGP</w:t>
      </w:r>
      <w:r w:rsidR="00825E91">
        <w:rPr>
          <w:rFonts w:ascii="Times New Roman" w:hAnsi="Times New Roman" w:cs="Times New Roman"/>
        </w:rPr>
        <w:t>”</w:t>
      </w:r>
      <w:r w:rsidR="00183665" w:rsidRPr="00183665">
        <w:rPr>
          <w:rFonts w:ascii="Times New Roman" w:hAnsi="Times New Roman" w:cs="Times New Roman"/>
        </w:rPr>
        <w:t xml:space="preserve"> </w:t>
      </w:r>
      <w:r w:rsidRPr="003B7391">
        <w:rPr>
          <w:rFonts w:ascii="Times New Roman" w:hAnsi="Times New Roman" w:cs="Times New Roman"/>
        </w:rPr>
        <w:t xml:space="preserve">identifier, this decreased to $22 million in medical claims without an eligibility record or approximately 1.6% of the total medical claims for these payers. </w:t>
      </w:r>
    </w:p>
    <w:p w14:paraId="62BD389C" w14:textId="58991EB3" w:rsidR="00F60CCA" w:rsidRPr="003B7391" w:rsidRDefault="00E31166" w:rsidP="003B7391">
      <w:pPr>
        <w:pStyle w:val="ListParagraph"/>
        <w:numPr>
          <w:ilvl w:val="0"/>
          <w:numId w:val="34"/>
        </w:numPr>
        <w:spacing w:after="120" w:line="240" w:lineRule="auto"/>
        <w:contextualSpacing w:val="0"/>
        <w:rPr>
          <w:rFonts w:ascii="Times New Roman" w:hAnsi="Times New Roman" w:cs="Times New Roman"/>
        </w:rPr>
      </w:pPr>
      <w:r w:rsidRPr="003B7391">
        <w:rPr>
          <w:rFonts w:ascii="Times New Roman" w:hAnsi="Times New Roman" w:cs="Times New Roman"/>
          <w:b/>
        </w:rPr>
        <w:t>Other inconsistencies in member IDs:</w:t>
      </w:r>
      <w:r w:rsidRPr="003B7391">
        <w:rPr>
          <w:rFonts w:ascii="Times New Roman" w:hAnsi="Times New Roman" w:cs="Times New Roman"/>
        </w:rPr>
        <w:t xml:space="preserve"> We reviewed member months per unique member using both the original “PIDBDGP” member ID as well as the new “MUID” member ID.  Based on this review, the “PIDBDGP” has multiple identifiers within the year for some members. I.e. the PIDBDGP, while consistent between the APCD claims and eligibility files, was not consistent within the eligibility file across time.  At the direction of HSCRC and because of the possible impacts to risk scores associated with changing member IDs within the year, we relied on MUID for our risk score development.  This resulted in a risk score increase, relative to the PIDBDGP member ID, of about 2.5%.</w:t>
      </w:r>
    </w:p>
    <w:p w14:paraId="14427ED6" w14:textId="77777777" w:rsidR="001F3D44" w:rsidRPr="001F3D44" w:rsidRDefault="001F3D44" w:rsidP="001F3D44">
      <w:pPr>
        <w:pStyle w:val="ListParagraph"/>
        <w:spacing w:after="0" w:line="240" w:lineRule="auto"/>
        <w:contextualSpacing w:val="0"/>
        <w:rPr>
          <w:rFonts w:ascii="Times New Roman" w:hAnsi="Times New Roman" w:cs="Times New Roman"/>
          <w:b/>
        </w:rPr>
      </w:pPr>
    </w:p>
    <w:p w14:paraId="58E57C3A" w14:textId="2E970BC5" w:rsidR="00F60CCA" w:rsidRPr="00F60CCA" w:rsidRDefault="00F60CCA" w:rsidP="00F60CCA">
      <w:pPr>
        <w:rPr>
          <w:szCs w:val="22"/>
        </w:rPr>
      </w:pPr>
      <w:r>
        <w:rPr>
          <w:b/>
          <w:szCs w:val="22"/>
        </w:rPr>
        <w:t>Exhibit A-</w:t>
      </w:r>
      <w:r w:rsidR="001F3D44">
        <w:rPr>
          <w:b/>
          <w:szCs w:val="22"/>
        </w:rPr>
        <w:t>1</w:t>
      </w:r>
      <w:r w:rsidRPr="00F60CCA">
        <w:rPr>
          <w:szCs w:val="22"/>
        </w:rPr>
        <w:t xml:space="preserve"> below shows the starting allowed amounts and the allowed amounts added for the IBNR amounts.</w:t>
      </w:r>
    </w:p>
    <w:p w14:paraId="76DB9BDA" w14:textId="4CA41E99" w:rsidR="00F60CCA" w:rsidRPr="00671BEF" w:rsidRDefault="00F60CCA" w:rsidP="00671BEF">
      <w:pPr>
        <w:pStyle w:val="Caption"/>
      </w:pPr>
      <w:r w:rsidRPr="00671BEF">
        <w:t>Exhibit A-</w:t>
      </w:r>
      <w:r w:rsidR="00F0683C" w:rsidRPr="00671BEF">
        <w:t>1</w:t>
      </w:r>
      <w:r w:rsidRPr="00671BEF">
        <w:t xml:space="preserve"> – Summary of 2017 Maryland APCD Adjustments</w:t>
      </w:r>
    </w:p>
    <w:tbl>
      <w:tblPr>
        <w:tblW w:w="8889" w:type="dxa"/>
        <w:tblCellMar>
          <w:left w:w="0" w:type="dxa"/>
          <w:right w:w="0" w:type="dxa"/>
        </w:tblCellMar>
        <w:tblLook w:val="04A0" w:firstRow="1" w:lastRow="0" w:firstColumn="1" w:lastColumn="0" w:noHBand="0" w:noVBand="1"/>
      </w:tblPr>
      <w:tblGrid>
        <w:gridCol w:w="4591"/>
        <w:gridCol w:w="2149"/>
        <w:gridCol w:w="2149"/>
      </w:tblGrid>
      <w:tr w:rsidR="00FA7E6C" w:rsidRPr="00F60CCA" w14:paraId="5E14E388" w14:textId="1C8A3129" w:rsidTr="005C13A5">
        <w:trPr>
          <w:trHeight w:val="60"/>
        </w:trPr>
        <w:tc>
          <w:tcPr>
            <w:tcW w:w="4591" w:type="dxa"/>
            <w:tcBorders>
              <w:top w:val="single" w:sz="8" w:space="0" w:color="auto"/>
              <w:left w:val="single" w:sz="8" w:space="0" w:color="auto"/>
              <w:bottom w:val="single" w:sz="8" w:space="0" w:color="auto"/>
              <w:right w:val="single" w:sz="8" w:space="0" w:color="auto"/>
            </w:tcBorders>
            <w:shd w:val="clear" w:color="auto" w:fill="48A9C5" w:themeFill="text2"/>
            <w:noWrap/>
            <w:tcMar>
              <w:top w:w="0" w:type="dxa"/>
              <w:left w:w="108" w:type="dxa"/>
              <w:bottom w:w="0" w:type="dxa"/>
              <w:right w:w="108" w:type="dxa"/>
            </w:tcMar>
            <w:vAlign w:val="center"/>
            <w:hideMark/>
          </w:tcPr>
          <w:p w14:paraId="61F6F1C7" w14:textId="77777777" w:rsidR="00FA7E6C" w:rsidRPr="005C13A5" w:rsidRDefault="00FA7E6C" w:rsidP="00FA7E6C">
            <w:pPr>
              <w:spacing w:after="0"/>
              <w:jc w:val="center"/>
              <w:rPr>
                <w:rFonts w:ascii="Arial Narrow" w:hAnsi="Arial Narrow"/>
                <w:b/>
                <w:bCs/>
                <w:color w:val="FFFFFF" w:themeColor="background1"/>
                <w:sz w:val="20"/>
              </w:rPr>
            </w:pPr>
            <w:r w:rsidRPr="005C13A5">
              <w:rPr>
                <w:rFonts w:ascii="Arial Narrow" w:hAnsi="Arial Narrow"/>
                <w:b/>
                <w:bCs/>
                <w:color w:val="FFFFFF" w:themeColor="background1"/>
                <w:sz w:val="20"/>
              </w:rPr>
              <w:t>Adjustment</w:t>
            </w:r>
          </w:p>
        </w:tc>
        <w:tc>
          <w:tcPr>
            <w:tcW w:w="2149" w:type="dxa"/>
            <w:tcBorders>
              <w:top w:val="single" w:sz="8" w:space="0" w:color="auto"/>
              <w:left w:val="nil"/>
              <w:bottom w:val="single" w:sz="8" w:space="0" w:color="auto"/>
              <w:right w:val="single" w:sz="8" w:space="0" w:color="auto"/>
            </w:tcBorders>
            <w:shd w:val="clear" w:color="auto" w:fill="48A9C5" w:themeFill="text2"/>
            <w:noWrap/>
            <w:tcMar>
              <w:top w:w="0" w:type="dxa"/>
              <w:left w:w="108" w:type="dxa"/>
              <w:bottom w:w="0" w:type="dxa"/>
              <w:right w:w="108" w:type="dxa"/>
            </w:tcMar>
            <w:vAlign w:val="center"/>
            <w:hideMark/>
          </w:tcPr>
          <w:p w14:paraId="59A65B99" w14:textId="77777777" w:rsidR="00FA7E6C" w:rsidRPr="005C13A5" w:rsidRDefault="00FA7E6C" w:rsidP="00FA7E6C">
            <w:pPr>
              <w:spacing w:after="0"/>
              <w:jc w:val="center"/>
              <w:rPr>
                <w:rFonts w:ascii="Arial Narrow" w:hAnsi="Arial Narrow"/>
                <w:b/>
                <w:bCs/>
                <w:color w:val="FFFFFF" w:themeColor="background1"/>
                <w:sz w:val="20"/>
              </w:rPr>
            </w:pPr>
            <w:r w:rsidRPr="005C13A5">
              <w:rPr>
                <w:rFonts w:ascii="Arial Narrow" w:hAnsi="Arial Narrow"/>
                <w:b/>
                <w:bCs/>
                <w:color w:val="FFFFFF" w:themeColor="background1"/>
                <w:sz w:val="20"/>
              </w:rPr>
              <w:t>Allowed</w:t>
            </w:r>
          </w:p>
        </w:tc>
        <w:tc>
          <w:tcPr>
            <w:tcW w:w="2149" w:type="dxa"/>
            <w:tcBorders>
              <w:top w:val="single" w:sz="8" w:space="0" w:color="auto"/>
              <w:left w:val="nil"/>
              <w:bottom w:val="single" w:sz="8" w:space="0" w:color="auto"/>
              <w:right w:val="single" w:sz="8" w:space="0" w:color="auto"/>
            </w:tcBorders>
            <w:shd w:val="clear" w:color="auto" w:fill="48A9C5" w:themeFill="text2"/>
          </w:tcPr>
          <w:p w14:paraId="7C8CB7B9" w14:textId="09CE2C2F" w:rsidR="00FA7E6C" w:rsidRPr="005C13A5" w:rsidRDefault="00FA7E6C" w:rsidP="00FA7E6C">
            <w:pPr>
              <w:spacing w:after="0"/>
              <w:jc w:val="center"/>
              <w:rPr>
                <w:rFonts w:ascii="Arial Narrow" w:hAnsi="Arial Narrow"/>
                <w:b/>
                <w:bCs/>
                <w:color w:val="FFFFFF" w:themeColor="background1"/>
                <w:sz w:val="20"/>
              </w:rPr>
            </w:pPr>
            <w:r w:rsidRPr="005C13A5">
              <w:rPr>
                <w:rFonts w:ascii="Arial Narrow" w:hAnsi="Arial Narrow"/>
                <w:b/>
                <w:bCs/>
                <w:color w:val="FFFFFF" w:themeColor="background1"/>
                <w:sz w:val="20"/>
              </w:rPr>
              <w:t>Percent of Total</w:t>
            </w:r>
          </w:p>
        </w:tc>
      </w:tr>
      <w:tr w:rsidR="00FA7E6C" w:rsidRPr="00F60CCA" w14:paraId="00489F33" w14:textId="3D713F80" w:rsidTr="00AC6B79">
        <w:trPr>
          <w:trHeight w:val="60"/>
        </w:trPr>
        <w:tc>
          <w:tcPr>
            <w:tcW w:w="45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69C846" w14:textId="77777777" w:rsidR="00FA7E6C" w:rsidRPr="00F60CCA" w:rsidRDefault="00FA7E6C" w:rsidP="00FA7E6C">
            <w:pPr>
              <w:spacing w:after="0"/>
              <w:rPr>
                <w:rFonts w:ascii="Arial Narrow" w:hAnsi="Arial Narrow"/>
                <w:sz w:val="20"/>
              </w:rPr>
            </w:pPr>
            <w:r w:rsidRPr="00F60CCA">
              <w:rPr>
                <w:rFonts w:ascii="Arial Narrow" w:hAnsi="Arial Narrow"/>
                <w:sz w:val="20"/>
              </w:rPr>
              <w:t>Total</w:t>
            </w:r>
          </w:p>
        </w:tc>
        <w:tc>
          <w:tcPr>
            <w:tcW w:w="2149"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F35068A" w14:textId="77777777" w:rsidR="00FA7E6C" w:rsidRPr="00FA7E6C" w:rsidRDefault="00FA7E6C" w:rsidP="00FA7E6C">
            <w:pPr>
              <w:spacing w:after="0"/>
              <w:jc w:val="right"/>
              <w:rPr>
                <w:rFonts w:ascii="Arial Narrow" w:hAnsi="Arial Narrow"/>
                <w:sz w:val="20"/>
              </w:rPr>
            </w:pPr>
            <w:r w:rsidRPr="00FA7E6C">
              <w:rPr>
                <w:rFonts w:ascii="Arial Narrow" w:hAnsi="Arial Narrow"/>
                <w:sz w:val="20"/>
              </w:rPr>
              <w:t>$ 11,306,422,684</w:t>
            </w:r>
          </w:p>
        </w:tc>
        <w:tc>
          <w:tcPr>
            <w:tcW w:w="2149" w:type="dxa"/>
            <w:tcBorders>
              <w:top w:val="nil"/>
              <w:left w:val="nil"/>
              <w:bottom w:val="single" w:sz="8" w:space="0" w:color="auto"/>
              <w:right w:val="single" w:sz="8" w:space="0" w:color="auto"/>
            </w:tcBorders>
          </w:tcPr>
          <w:p w14:paraId="3C9DDEC0" w14:textId="4581C33E" w:rsidR="00FA7E6C" w:rsidRPr="00FA7E6C" w:rsidRDefault="00FA7E6C" w:rsidP="00864D4A">
            <w:pPr>
              <w:spacing w:after="0"/>
              <w:jc w:val="center"/>
              <w:rPr>
                <w:rFonts w:ascii="Arial Narrow" w:hAnsi="Arial Narrow"/>
                <w:sz w:val="20"/>
              </w:rPr>
            </w:pPr>
            <w:r w:rsidRPr="00864D4A">
              <w:rPr>
                <w:rFonts w:ascii="Arial Narrow" w:hAnsi="Arial Narrow"/>
                <w:sz w:val="20"/>
              </w:rPr>
              <w:t>100%</w:t>
            </w:r>
          </w:p>
        </w:tc>
      </w:tr>
      <w:tr w:rsidR="00FA7E6C" w:rsidRPr="00F60CCA" w14:paraId="635F2248" w14:textId="0F775002" w:rsidTr="00AC6B79">
        <w:trPr>
          <w:trHeight w:val="60"/>
        </w:trPr>
        <w:tc>
          <w:tcPr>
            <w:tcW w:w="45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100A71" w14:textId="77777777" w:rsidR="00FA7E6C" w:rsidRPr="00F60CCA" w:rsidRDefault="00FA7E6C" w:rsidP="00FA7E6C">
            <w:pPr>
              <w:spacing w:after="0"/>
              <w:rPr>
                <w:rFonts w:ascii="Arial Narrow" w:hAnsi="Arial Narrow"/>
                <w:sz w:val="20"/>
              </w:rPr>
            </w:pPr>
            <w:r w:rsidRPr="00F60CCA">
              <w:rPr>
                <w:rFonts w:ascii="Arial Narrow" w:hAnsi="Arial Narrow"/>
                <w:sz w:val="20"/>
              </w:rPr>
              <w:t>Payer and line of business exclusions</w:t>
            </w:r>
          </w:p>
        </w:tc>
        <w:tc>
          <w:tcPr>
            <w:tcW w:w="2149"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B6D839E" w14:textId="77777777" w:rsidR="00FA7E6C" w:rsidRPr="00FA7E6C" w:rsidRDefault="00FA7E6C" w:rsidP="00FA7E6C">
            <w:pPr>
              <w:spacing w:after="0"/>
              <w:jc w:val="right"/>
              <w:rPr>
                <w:rFonts w:ascii="Arial Narrow" w:hAnsi="Arial Narrow"/>
                <w:sz w:val="20"/>
              </w:rPr>
            </w:pPr>
            <w:r w:rsidRPr="00FA7E6C">
              <w:rPr>
                <w:rFonts w:ascii="Arial Narrow" w:hAnsi="Arial Narrow"/>
                <w:sz w:val="20"/>
              </w:rPr>
              <w:t>$ 3,500,233,498</w:t>
            </w:r>
          </w:p>
        </w:tc>
        <w:tc>
          <w:tcPr>
            <w:tcW w:w="2149" w:type="dxa"/>
            <w:tcBorders>
              <w:top w:val="nil"/>
              <w:left w:val="nil"/>
              <w:bottom w:val="single" w:sz="8" w:space="0" w:color="auto"/>
              <w:right w:val="single" w:sz="8" w:space="0" w:color="auto"/>
            </w:tcBorders>
          </w:tcPr>
          <w:p w14:paraId="6F45118C" w14:textId="1E2BF5E5" w:rsidR="00FA7E6C" w:rsidRPr="00FA7E6C" w:rsidRDefault="00FA7E6C" w:rsidP="00864D4A">
            <w:pPr>
              <w:spacing w:after="0"/>
              <w:jc w:val="center"/>
              <w:rPr>
                <w:rFonts w:ascii="Arial Narrow" w:hAnsi="Arial Narrow"/>
                <w:sz w:val="20"/>
              </w:rPr>
            </w:pPr>
            <w:r w:rsidRPr="00864D4A">
              <w:rPr>
                <w:rFonts w:ascii="Arial Narrow" w:hAnsi="Arial Narrow"/>
                <w:sz w:val="20"/>
              </w:rPr>
              <w:t>31%</w:t>
            </w:r>
          </w:p>
        </w:tc>
      </w:tr>
      <w:tr w:rsidR="00FA7E6C" w:rsidRPr="00F60CCA" w14:paraId="7F4ECFA1" w14:textId="47BF2A3C" w:rsidTr="00AC6B79">
        <w:trPr>
          <w:trHeight w:val="60"/>
        </w:trPr>
        <w:tc>
          <w:tcPr>
            <w:tcW w:w="45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B314EC" w14:textId="053BAA9F" w:rsidR="00FA7E6C" w:rsidRPr="00F60CCA" w:rsidRDefault="00FA7E6C" w:rsidP="00FA7E6C">
            <w:pPr>
              <w:spacing w:after="0"/>
              <w:rPr>
                <w:rFonts w:ascii="Arial Narrow" w:hAnsi="Arial Narrow"/>
                <w:sz w:val="20"/>
              </w:rPr>
            </w:pPr>
            <w:r w:rsidRPr="00F60CCA">
              <w:rPr>
                <w:rFonts w:ascii="Arial Narrow" w:hAnsi="Arial Narrow"/>
                <w:sz w:val="20"/>
              </w:rPr>
              <w:t xml:space="preserve">Commercial </w:t>
            </w:r>
            <w:r w:rsidR="00994C5C">
              <w:rPr>
                <w:rFonts w:ascii="Arial Narrow" w:hAnsi="Arial Narrow"/>
                <w:sz w:val="20"/>
              </w:rPr>
              <w:t xml:space="preserve">and Individual </w:t>
            </w:r>
            <w:r w:rsidRPr="00F60CCA">
              <w:rPr>
                <w:rFonts w:ascii="Arial Narrow" w:hAnsi="Arial Narrow"/>
                <w:sz w:val="20"/>
              </w:rPr>
              <w:t xml:space="preserve">Subtotal </w:t>
            </w:r>
          </w:p>
        </w:tc>
        <w:tc>
          <w:tcPr>
            <w:tcW w:w="2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83689BD" w14:textId="77777777" w:rsidR="00FA7E6C" w:rsidRPr="00FA7E6C" w:rsidRDefault="00FA7E6C" w:rsidP="00FA7E6C">
            <w:pPr>
              <w:spacing w:after="0"/>
              <w:jc w:val="right"/>
              <w:rPr>
                <w:rFonts w:ascii="Arial Narrow" w:hAnsi="Arial Narrow"/>
                <w:sz w:val="20"/>
              </w:rPr>
            </w:pPr>
            <w:r w:rsidRPr="00FA7E6C">
              <w:rPr>
                <w:rFonts w:ascii="Arial Narrow" w:hAnsi="Arial Narrow"/>
                <w:sz w:val="20"/>
              </w:rPr>
              <w:t>$ 7,806,189,186</w:t>
            </w:r>
          </w:p>
        </w:tc>
        <w:tc>
          <w:tcPr>
            <w:tcW w:w="2149" w:type="dxa"/>
            <w:tcBorders>
              <w:top w:val="nil"/>
              <w:left w:val="nil"/>
              <w:bottom w:val="single" w:sz="8" w:space="0" w:color="auto"/>
              <w:right w:val="single" w:sz="8" w:space="0" w:color="auto"/>
            </w:tcBorders>
          </w:tcPr>
          <w:p w14:paraId="0BC41BBD" w14:textId="178519E7" w:rsidR="00FA7E6C" w:rsidRPr="00FA7E6C" w:rsidRDefault="00FA7E6C" w:rsidP="00864D4A">
            <w:pPr>
              <w:spacing w:after="0"/>
              <w:jc w:val="center"/>
              <w:rPr>
                <w:rFonts w:ascii="Arial Narrow" w:hAnsi="Arial Narrow"/>
                <w:sz w:val="20"/>
              </w:rPr>
            </w:pPr>
            <w:r w:rsidRPr="00864D4A">
              <w:rPr>
                <w:rFonts w:ascii="Arial Narrow" w:hAnsi="Arial Narrow"/>
                <w:sz w:val="20"/>
              </w:rPr>
              <w:t>69%</w:t>
            </w:r>
          </w:p>
        </w:tc>
      </w:tr>
      <w:tr w:rsidR="00FA7E6C" w:rsidRPr="00F60CCA" w14:paraId="392C1731" w14:textId="7D68D043" w:rsidTr="00AC6B79">
        <w:trPr>
          <w:trHeight w:val="245"/>
        </w:trPr>
        <w:tc>
          <w:tcPr>
            <w:tcW w:w="45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D8047A1" w14:textId="77777777" w:rsidR="00FA7E6C" w:rsidRPr="00F60CCA" w:rsidRDefault="00FA7E6C" w:rsidP="00FA7E6C">
            <w:pPr>
              <w:spacing w:after="0"/>
              <w:rPr>
                <w:rFonts w:ascii="Arial Narrow" w:hAnsi="Arial Narrow"/>
                <w:sz w:val="20"/>
              </w:rPr>
            </w:pPr>
            <w:r w:rsidRPr="00F60CCA">
              <w:rPr>
                <w:rFonts w:ascii="Arial Narrow" w:hAnsi="Arial Narrow"/>
                <w:sz w:val="20"/>
              </w:rPr>
              <w:lastRenderedPageBreak/>
              <w:t xml:space="preserve">  + IBNR Amount</w:t>
            </w:r>
          </w:p>
        </w:tc>
        <w:tc>
          <w:tcPr>
            <w:tcW w:w="2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48B3F3" w14:textId="77777777" w:rsidR="00FA7E6C" w:rsidRPr="00FA7E6C" w:rsidRDefault="00FA7E6C" w:rsidP="00FA7E6C">
            <w:pPr>
              <w:spacing w:after="0"/>
              <w:jc w:val="right"/>
              <w:rPr>
                <w:rFonts w:ascii="Arial Narrow" w:hAnsi="Arial Narrow"/>
                <w:sz w:val="20"/>
              </w:rPr>
            </w:pPr>
            <w:r w:rsidRPr="00FA7E6C">
              <w:rPr>
                <w:rFonts w:ascii="Arial Narrow" w:hAnsi="Arial Narrow"/>
                <w:sz w:val="20"/>
              </w:rPr>
              <w:t>$ 119,025,411</w:t>
            </w:r>
          </w:p>
        </w:tc>
        <w:tc>
          <w:tcPr>
            <w:tcW w:w="2149" w:type="dxa"/>
            <w:tcBorders>
              <w:top w:val="nil"/>
              <w:left w:val="nil"/>
              <w:bottom w:val="single" w:sz="8" w:space="0" w:color="auto"/>
              <w:right w:val="single" w:sz="8" w:space="0" w:color="auto"/>
            </w:tcBorders>
          </w:tcPr>
          <w:p w14:paraId="390A99CB" w14:textId="683F5FDF" w:rsidR="00FA7E6C" w:rsidRPr="00FA7E6C" w:rsidRDefault="00FA7E6C" w:rsidP="00864D4A">
            <w:pPr>
              <w:spacing w:after="0"/>
              <w:jc w:val="center"/>
              <w:rPr>
                <w:rFonts w:ascii="Arial Narrow" w:hAnsi="Arial Narrow"/>
                <w:sz w:val="20"/>
              </w:rPr>
            </w:pPr>
            <w:r w:rsidRPr="00864D4A">
              <w:rPr>
                <w:rFonts w:ascii="Arial Narrow" w:hAnsi="Arial Narrow"/>
                <w:sz w:val="20"/>
              </w:rPr>
              <w:t>1%</w:t>
            </w:r>
          </w:p>
        </w:tc>
      </w:tr>
      <w:tr w:rsidR="00FA7E6C" w:rsidRPr="00F60CCA" w14:paraId="72DF06AB" w14:textId="66BAD989" w:rsidTr="00AC6B79">
        <w:trPr>
          <w:trHeight w:val="245"/>
        </w:trPr>
        <w:tc>
          <w:tcPr>
            <w:tcW w:w="4591" w:type="dxa"/>
            <w:tcBorders>
              <w:top w:val="nil"/>
              <w:left w:val="single" w:sz="8" w:space="0" w:color="auto"/>
              <w:bottom w:val="double" w:sz="4" w:space="0" w:color="auto"/>
              <w:right w:val="single" w:sz="8" w:space="0" w:color="auto"/>
            </w:tcBorders>
            <w:noWrap/>
            <w:tcMar>
              <w:top w:w="0" w:type="dxa"/>
              <w:left w:w="108" w:type="dxa"/>
              <w:bottom w:w="0" w:type="dxa"/>
              <w:right w:w="108" w:type="dxa"/>
            </w:tcMar>
            <w:vAlign w:val="center"/>
          </w:tcPr>
          <w:p w14:paraId="6B828931" w14:textId="77777777" w:rsidR="00FA7E6C" w:rsidRPr="00F60CCA" w:rsidRDefault="00FA7E6C" w:rsidP="00FA7E6C">
            <w:pPr>
              <w:spacing w:after="0"/>
              <w:rPr>
                <w:rFonts w:ascii="Arial Narrow" w:hAnsi="Arial Narrow"/>
                <w:sz w:val="20"/>
              </w:rPr>
            </w:pPr>
            <w:r w:rsidRPr="00F60CCA">
              <w:rPr>
                <w:rFonts w:ascii="Arial Narrow" w:hAnsi="Arial Narrow"/>
                <w:sz w:val="20"/>
              </w:rPr>
              <w:t xml:space="preserve">  - Teaching Costs</w:t>
            </w:r>
          </w:p>
        </w:tc>
        <w:tc>
          <w:tcPr>
            <w:tcW w:w="2149" w:type="dxa"/>
            <w:tcBorders>
              <w:top w:val="nil"/>
              <w:left w:val="nil"/>
              <w:bottom w:val="double" w:sz="4" w:space="0" w:color="auto"/>
              <w:right w:val="single" w:sz="8" w:space="0" w:color="auto"/>
            </w:tcBorders>
            <w:noWrap/>
            <w:tcMar>
              <w:top w:w="0" w:type="dxa"/>
              <w:left w:w="108" w:type="dxa"/>
              <w:bottom w:w="0" w:type="dxa"/>
              <w:right w:w="108" w:type="dxa"/>
            </w:tcMar>
            <w:vAlign w:val="center"/>
          </w:tcPr>
          <w:p w14:paraId="09D60734" w14:textId="77777777" w:rsidR="00FA7E6C" w:rsidRPr="00FA7E6C" w:rsidRDefault="00FA7E6C" w:rsidP="00FA7E6C">
            <w:pPr>
              <w:spacing w:after="0"/>
              <w:jc w:val="right"/>
              <w:rPr>
                <w:rFonts w:ascii="Arial Narrow" w:hAnsi="Arial Narrow"/>
                <w:sz w:val="20"/>
              </w:rPr>
            </w:pPr>
            <w:r w:rsidRPr="00FA7E6C">
              <w:rPr>
                <w:rFonts w:ascii="Arial Narrow" w:hAnsi="Arial Narrow"/>
                <w:sz w:val="20"/>
              </w:rPr>
              <w:t>$ 95,547,859</w:t>
            </w:r>
          </w:p>
        </w:tc>
        <w:tc>
          <w:tcPr>
            <w:tcW w:w="2149" w:type="dxa"/>
            <w:tcBorders>
              <w:top w:val="nil"/>
              <w:left w:val="nil"/>
              <w:bottom w:val="double" w:sz="4" w:space="0" w:color="auto"/>
              <w:right w:val="single" w:sz="8" w:space="0" w:color="auto"/>
            </w:tcBorders>
          </w:tcPr>
          <w:p w14:paraId="29383FFA" w14:textId="624DED9D" w:rsidR="00FA7E6C" w:rsidRPr="00FA7E6C" w:rsidRDefault="00FA7E6C" w:rsidP="00864D4A">
            <w:pPr>
              <w:spacing w:after="0"/>
              <w:jc w:val="center"/>
              <w:rPr>
                <w:rFonts w:ascii="Arial Narrow" w:hAnsi="Arial Narrow"/>
                <w:sz w:val="20"/>
              </w:rPr>
            </w:pPr>
            <w:r w:rsidRPr="00864D4A">
              <w:rPr>
                <w:rFonts w:ascii="Arial Narrow" w:hAnsi="Arial Narrow"/>
                <w:sz w:val="20"/>
              </w:rPr>
              <w:t>1%</w:t>
            </w:r>
          </w:p>
        </w:tc>
      </w:tr>
      <w:tr w:rsidR="00FA7E6C" w:rsidRPr="00F60CCA" w14:paraId="7D9E52F3" w14:textId="6DFB202D" w:rsidTr="00AC6B79">
        <w:trPr>
          <w:trHeight w:val="245"/>
        </w:trPr>
        <w:tc>
          <w:tcPr>
            <w:tcW w:w="4591" w:type="dxa"/>
            <w:tcBorders>
              <w:top w:val="doub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10FB179" w14:textId="77777777" w:rsidR="00FA7E6C" w:rsidRPr="00F60CCA" w:rsidRDefault="00FA7E6C" w:rsidP="00FA7E6C">
            <w:pPr>
              <w:spacing w:after="0"/>
              <w:rPr>
                <w:rFonts w:ascii="Arial Narrow" w:hAnsi="Arial Narrow"/>
                <w:sz w:val="20"/>
              </w:rPr>
            </w:pPr>
            <w:r w:rsidRPr="00F60CCA">
              <w:rPr>
                <w:rFonts w:ascii="Arial Narrow" w:hAnsi="Arial Narrow"/>
                <w:sz w:val="20"/>
              </w:rPr>
              <w:t>= Amounts in Cost Model</w:t>
            </w:r>
          </w:p>
        </w:tc>
        <w:tc>
          <w:tcPr>
            <w:tcW w:w="2149" w:type="dxa"/>
            <w:tcBorders>
              <w:top w:val="doub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21869C5" w14:textId="77777777" w:rsidR="00FA7E6C" w:rsidRPr="00FA7E6C" w:rsidRDefault="00FA7E6C" w:rsidP="00FA7E6C">
            <w:pPr>
              <w:spacing w:after="0"/>
              <w:jc w:val="right"/>
              <w:rPr>
                <w:rFonts w:ascii="Arial Narrow" w:hAnsi="Arial Narrow"/>
                <w:sz w:val="20"/>
              </w:rPr>
            </w:pPr>
            <w:r w:rsidRPr="00FA7E6C">
              <w:rPr>
                <w:rFonts w:ascii="Arial Narrow" w:hAnsi="Arial Narrow"/>
                <w:sz w:val="20"/>
              </w:rPr>
              <w:t>$ 7,829,666,738</w:t>
            </w:r>
          </w:p>
        </w:tc>
        <w:tc>
          <w:tcPr>
            <w:tcW w:w="2149" w:type="dxa"/>
            <w:tcBorders>
              <w:top w:val="double" w:sz="4" w:space="0" w:color="auto"/>
              <w:left w:val="nil"/>
              <w:bottom w:val="single" w:sz="8" w:space="0" w:color="auto"/>
              <w:right w:val="single" w:sz="8" w:space="0" w:color="auto"/>
            </w:tcBorders>
          </w:tcPr>
          <w:p w14:paraId="560E4DB1" w14:textId="62A186AF" w:rsidR="00FA7E6C" w:rsidRPr="00FA7E6C" w:rsidRDefault="00FA7E6C" w:rsidP="00864D4A">
            <w:pPr>
              <w:spacing w:after="0"/>
              <w:jc w:val="center"/>
              <w:rPr>
                <w:rFonts w:ascii="Arial Narrow" w:hAnsi="Arial Narrow"/>
                <w:sz w:val="20"/>
              </w:rPr>
            </w:pPr>
            <w:r w:rsidRPr="00864D4A">
              <w:rPr>
                <w:rFonts w:ascii="Arial Narrow" w:hAnsi="Arial Narrow"/>
                <w:sz w:val="20"/>
              </w:rPr>
              <w:t>69%</w:t>
            </w:r>
          </w:p>
        </w:tc>
      </w:tr>
    </w:tbl>
    <w:p w14:paraId="498F31FA" w14:textId="77777777" w:rsidR="001F3D44" w:rsidRDefault="001F3D44" w:rsidP="001F3D44">
      <w:pPr>
        <w:spacing w:after="0"/>
        <w:rPr>
          <w:szCs w:val="22"/>
        </w:rPr>
      </w:pPr>
    </w:p>
    <w:p w14:paraId="157D23CE" w14:textId="6A12B7C2" w:rsidR="001F3D44" w:rsidRPr="001F3D44" w:rsidRDefault="001F3D44" w:rsidP="001F3D44">
      <w:pPr>
        <w:rPr>
          <w:szCs w:val="22"/>
        </w:rPr>
      </w:pPr>
      <w:r w:rsidRPr="001F3D44">
        <w:rPr>
          <w:szCs w:val="22"/>
        </w:rPr>
        <w:t xml:space="preserve">For additional detail on the APCD validation and exclusions applied to the APCD, see </w:t>
      </w:r>
      <w:r>
        <w:t>“</w:t>
      </w:r>
      <w:r w:rsidRPr="001F3D44">
        <w:t>CY 201</w:t>
      </w:r>
      <w:r w:rsidR="00C025A2">
        <w:t>8</w:t>
      </w:r>
      <w:r w:rsidRPr="001F3D44">
        <w:t xml:space="preserve"> Milliman Benchmark</w:t>
      </w:r>
      <w:r>
        <w:t xml:space="preserve"> </w:t>
      </w:r>
      <w:r w:rsidRPr="001F3D44">
        <w:t>and Maryland All-Payer Claims</w:t>
      </w:r>
      <w:r>
        <w:t xml:space="preserve"> </w:t>
      </w:r>
      <w:r w:rsidRPr="001F3D44">
        <w:t>Database Cost and Utilization</w:t>
      </w:r>
      <w:r>
        <w:t xml:space="preserve"> </w:t>
      </w:r>
      <w:r w:rsidRPr="001F3D44">
        <w:t>Exhibits</w:t>
      </w:r>
      <w:r>
        <w:t xml:space="preserve"> Report,” Attachment D available at </w:t>
      </w:r>
      <w:hyperlink r:id="rId15" w:tooltip="https://www.milliman.com/2018-Benchmark-APCD-Methodology" w:history="1">
        <w:r w:rsidR="002079D9" w:rsidRPr="009E3DA1">
          <w:rPr>
            <w:rStyle w:val="Hyperlink"/>
            <w:color w:val="954F72"/>
          </w:rPr>
          <w:t>https://www.milliman.co</w:t>
        </w:r>
        <w:r w:rsidR="002079D9" w:rsidRPr="009E3DA1">
          <w:rPr>
            <w:rStyle w:val="Hyperlink"/>
            <w:color w:val="954F72"/>
          </w:rPr>
          <w:t>m</w:t>
        </w:r>
        <w:r w:rsidR="002079D9" w:rsidRPr="009E3DA1">
          <w:rPr>
            <w:rStyle w:val="Hyperlink"/>
            <w:color w:val="954F72"/>
          </w:rPr>
          <w:t>/2018-Benchmark-APCD-Methodology</w:t>
        </w:r>
      </w:hyperlink>
      <w:r w:rsidR="002079D9" w:rsidRPr="009E3DA1">
        <w:t>.</w:t>
      </w:r>
      <w:r>
        <w:t>.</w:t>
      </w:r>
    </w:p>
    <w:p w14:paraId="74E2495B" w14:textId="77777777" w:rsidR="001F3D44" w:rsidRPr="00F60CCA" w:rsidRDefault="001F3D44" w:rsidP="001F3D44">
      <w:pPr>
        <w:rPr>
          <w:szCs w:val="22"/>
        </w:rPr>
      </w:pPr>
    </w:p>
    <w:p w14:paraId="08476C36" w14:textId="14E252CD" w:rsidR="00CF63EB" w:rsidRPr="001F3D44" w:rsidRDefault="00F60CCA" w:rsidP="001F3D44">
      <w:pPr>
        <w:spacing w:after="0"/>
        <w:rPr>
          <w:szCs w:val="22"/>
        </w:rPr>
      </w:pPr>
      <w:r>
        <w:rPr>
          <w:szCs w:val="22"/>
        </w:rPr>
        <w:br w:type="page"/>
      </w:r>
    </w:p>
    <w:p w14:paraId="4528BDB6" w14:textId="381B6167" w:rsidR="00F60CCA" w:rsidRDefault="00F60CCA" w:rsidP="00F60CCA">
      <w:pPr>
        <w:pStyle w:val="Heading1"/>
        <w:numPr>
          <w:ilvl w:val="0"/>
          <w:numId w:val="0"/>
        </w:numPr>
      </w:pPr>
      <w:bookmarkStart w:id="15" w:name="_Toc35363784"/>
      <w:r>
        <w:lastRenderedPageBreak/>
        <w:t xml:space="preserve">Appendix </w:t>
      </w:r>
      <w:r w:rsidR="001F3D44">
        <w:t>B</w:t>
      </w:r>
      <w:r>
        <w:t>. Benefit Level Construction</w:t>
      </w:r>
      <w:bookmarkEnd w:id="15"/>
    </w:p>
    <w:p w14:paraId="686FA593" w14:textId="77777777" w:rsidR="00F60CCA" w:rsidRPr="0034099C" w:rsidRDefault="00F60CCA" w:rsidP="00F60CCA">
      <w:pPr>
        <w:spacing w:after="0"/>
        <w:rPr>
          <w:rFonts w:asciiTheme="majorHAnsi" w:hAnsiTheme="majorHAnsi" w:cstheme="majorHAnsi"/>
          <w:sz w:val="20"/>
        </w:rPr>
      </w:pPr>
    </w:p>
    <w:p w14:paraId="1E2FD7DD" w14:textId="1A9CF0C3" w:rsidR="00F60CCA" w:rsidRPr="00C50275" w:rsidRDefault="00AB34A0" w:rsidP="00C50275">
      <w:pPr>
        <w:spacing w:after="120"/>
        <w:rPr>
          <w:szCs w:val="22"/>
        </w:rPr>
      </w:pPr>
      <w:r>
        <w:rPr>
          <w:szCs w:val="22"/>
        </w:rPr>
        <w:t>Milliman</w:t>
      </w:r>
      <w:r w:rsidR="00F60CCA" w:rsidRPr="00C50275">
        <w:rPr>
          <w:szCs w:val="22"/>
        </w:rPr>
        <w:t xml:space="preserve"> developed plan benefit normalization factors to account for allowed cost and utilization differences caused by plan design. The plan benefit factors were developed as follows:</w:t>
      </w:r>
    </w:p>
    <w:p w14:paraId="2C78FC7F" w14:textId="5FE6F0FD" w:rsidR="00F60CCA" w:rsidRPr="00C50275" w:rsidRDefault="00AB34A0" w:rsidP="00C50275">
      <w:pPr>
        <w:pStyle w:val="ListParagraph"/>
        <w:numPr>
          <w:ilvl w:val="0"/>
          <w:numId w:val="27"/>
        </w:numPr>
        <w:spacing w:after="120" w:line="240" w:lineRule="auto"/>
        <w:contextualSpacing w:val="0"/>
        <w:rPr>
          <w:rFonts w:ascii="Times New Roman" w:hAnsi="Times New Roman" w:cs="Times New Roman"/>
        </w:rPr>
      </w:pPr>
      <w:r w:rsidRPr="00AB34A0">
        <w:rPr>
          <w:rFonts w:ascii="Times New Roman" w:hAnsi="Times New Roman" w:cs="Times New Roman"/>
        </w:rPr>
        <w:t>Milliman</w:t>
      </w:r>
      <w:r w:rsidR="00F60CCA" w:rsidRPr="00C50275">
        <w:rPr>
          <w:rFonts w:ascii="Times New Roman" w:hAnsi="Times New Roman" w:cs="Times New Roman"/>
        </w:rPr>
        <w:t xml:space="preserve"> calculated coinsurance at the employer group and product level using the 2017 Milliman benchmark data.  This process effectively assume</w:t>
      </w:r>
      <w:r w:rsidR="00F0683C">
        <w:rPr>
          <w:rFonts w:ascii="Times New Roman" w:hAnsi="Times New Roman" w:cs="Times New Roman"/>
        </w:rPr>
        <w:t>d</w:t>
      </w:r>
      <w:r w:rsidR="00F60CCA" w:rsidRPr="00C50275">
        <w:rPr>
          <w:rFonts w:ascii="Times New Roman" w:hAnsi="Times New Roman" w:cs="Times New Roman"/>
        </w:rPr>
        <w:t xml:space="preserve"> all members with the same product and employer ha</w:t>
      </w:r>
      <w:r w:rsidR="00F0683C">
        <w:rPr>
          <w:rFonts w:ascii="Times New Roman" w:hAnsi="Times New Roman" w:cs="Times New Roman"/>
        </w:rPr>
        <w:t>d</w:t>
      </w:r>
      <w:r w:rsidR="00F60CCA" w:rsidRPr="00C50275">
        <w:rPr>
          <w:rFonts w:ascii="Times New Roman" w:hAnsi="Times New Roman" w:cs="Times New Roman"/>
        </w:rPr>
        <w:t xml:space="preserve"> the same benefit levels.</w:t>
      </w:r>
    </w:p>
    <w:p w14:paraId="387B6B5B" w14:textId="53ECDD44" w:rsidR="00F60CCA" w:rsidRPr="00C50275" w:rsidRDefault="00AB34A0" w:rsidP="00C50275">
      <w:pPr>
        <w:pStyle w:val="ListParagraph"/>
        <w:numPr>
          <w:ilvl w:val="0"/>
          <w:numId w:val="27"/>
        </w:numPr>
        <w:spacing w:after="120" w:line="240" w:lineRule="auto"/>
        <w:contextualSpacing w:val="0"/>
        <w:rPr>
          <w:rFonts w:ascii="Times New Roman" w:hAnsi="Times New Roman" w:cs="Times New Roman"/>
        </w:rPr>
      </w:pPr>
      <w:r w:rsidRPr="00AB34A0">
        <w:rPr>
          <w:rFonts w:ascii="Times New Roman" w:hAnsi="Times New Roman" w:cs="Times New Roman"/>
        </w:rPr>
        <w:t xml:space="preserve">Milliman </w:t>
      </w:r>
      <w:r w:rsidR="00F60CCA" w:rsidRPr="00C50275">
        <w:rPr>
          <w:rFonts w:ascii="Times New Roman" w:hAnsi="Times New Roman" w:cs="Times New Roman"/>
        </w:rPr>
        <w:t>compared the risk-adjusted allowed and RVUs PMPM by coinsurance range and major service category (inpatient, outpatient, and professional).</w:t>
      </w:r>
      <w:r>
        <w:rPr>
          <w:rFonts w:ascii="Times New Roman" w:hAnsi="Times New Roman" w:cs="Times New Roman"/>
        </w:rPr>
        <w:t xml:space="preserve"> </w:t>
      </w:r>
      <w:r w:rsidRPr="00AB34A0">
        <w:rPr>
          <w:rFonts w:ascii="Times New Roman" w:hAnsi="Times New Roman" w:cs="Times New Roman"/>
        </w:rPr>
        <w:t>Milliman</w:t>
      </w:r>
      <w:r w:rsidR="00F60CCA" w:rsidRPr="00C50275">
        <w:rPr>
          <w:rFonts w:ascii="Times New Roman" w:hAnsi="Times New Roman" w:cs="Times New Roman"/>
        </w:rPr>
        <w:t xml:space="preserve"> found that overall the risk-adjusted allowed and RVUs increase</w:t>
      </w:r>
      <w:r w:rsidR="00F0683C">
        <w:rPr>
          <w:rFonts w:ascii="Times New Roman" w:hAnsi="Times New Roman" w:cs="Times New Roman"/>
        </w:rPr>
        <w:t>d</w:t>
      </w:r>
      <w:r w:rsidR="00F60CCA" w:rsidRPr="00C50275">
        <w:rPr>
          <w:rFonts w:ascii="Times New Roman" w:hAnsi="Times New Roman" w:cs="Times New Roman"/>
        </w:rPr>
        <w:t xml:space="preserve"> as the benefit plan payment percentage increase</w:t>
      </w:r>
      <w:r w:rsidR="00F0683C">
        <w:rPr>
          <w:rFonts w:ascii="Times New Roman" w:hAnsi="Times New Roman" w:cs="Times New Roman"/>
        </w:rPr>
        <w:t>d</w:t>
      </w:r>
      <w:r w:rsidR="00F60CCA" w:rsidRPr="00C50275">
        <w:rPr>
          <w:rFonts w:ascii="Times New Roman" w:hAnsi="Times New Roman" w:cs="Times New Roman"/>
        </w:rPr>
        <w:t>.</w:t>
      </w:r>
    </w:p>
    <w:p w14:paraId="71D24604" w14:textId="5250E717" w:rsidR="00F60CCA" w:rsidRPr="00C50275" w:rsidRDefault="00F60CCA" w:rsidP="00C50275">
      <w:pPr>
        <w:pStyle w:val="ListParagraph"/>
        <w:numPr>
          <w:ilvl w:val="0"/>
          <w:numId w:val="27"/>
        </w:numPr>
        <w:spacing w:after="120" w:line="240" w:lineRule="auto"/>
        <w:contextualSpacing w:val="0"/>
        <w:rPr>
          <w:rFonts w:ascii="Times New Roman" w:hAnsi="Times New Roman" w:cs="Times New Roman"/>
        </w:rPr>
      </w:pPr>
      <w:r w:rsidRPr="00C50275">
        <w:rPr>
          <w:rFonts w:ascii="Times New Roman" w:hAnsi="Times New Roman" w:cs="Times New Roman"/>
        </w:rPr>
        <w:t xml:space="preserve">The plan benefit factors </w:t>
      </w:r>
      <w:r w:rsidR="00F0683C">
        <w:rPr>
          <w:rFonts w:ascii="Times New Roman" w:hAnsi="Times New Roman" w:cs="Times New Roman"/>
        </w:rPr>
        <w:t>were</w:t>
      </w:r>
      <w:r w:rsidRPr="00C50275">
        <w:rPr>
          <w:rFonts w:ascii="Times New Roman" w:hAnsi="Times New Roman" w:cs="Times New Roman"/>
        </w:rPr>
        <w:t xml:space="preserve"> calculated as the ratio of the risk adjusted amount for each coinsurance level to the total risk adjusted amount. </w:t>
      </w:r>
      <w:r w:rsidR="00AB34A0" w:rsidRPr="00AB34A0">
        <w:rPr>
          <w:rFonts w:ascii="Times New Roman" w:hAnsi="Times New Roman" w:cs="Times New Roman"/>
        </w:rPr>
        <w:t>Milliman</w:t>
      </w:r>
      <w:r w:rsidRPr="00C50275">
        <w:rPr>
          <w:rFonts w:ascii="Times New Roman" w:hAnsi="Times New Roman" w:cs="Times New Roman"/>
        </w:rPr>
        <w:t xml:space="preserve"> reviewed the results with HSCRC and made one smoothing adjustment: the coinsurance 95% plan benefit factor for professional services was increased by refining the data contributors included in the calculation.</w:t>
      </w:r>
    </w:p>
    <w:p w14:paraId="4820BA89" w14:textId="10DDF53C" w:rsidR="00F60CCA" w:rsidRPr="00C50275" w:rsidRDefault="00C50275" w:rsidP="00F60CCA">
      <w:pPr>
        <w:rPr>
          <w:szCs w:val="22"/>
        </w:rPr>
      </w:pPr>
      <w:r>
        <w:rPr>
          <w:b/>
          <w:szCs w:val="22"/>
        </w:rPr>
        <w:t xml:space="preserve">Exhibit </w:t>
      </w:r>
      <w:r w:rsidR="001F3D44">
        <w:rPr>
          <w:b/>
          <w:szCs w:val="22"/>
        </w:rPr>
        <w:t>B</w:t>
      </w:r>
      <w:r>
        <w:rPr>
          <w:b/>
          <w:szCs w:val="22"/>
        </w:rPr>
        <w:t>-1</w:t>
      </w:r>
      <w:r w:rsidR="00F60CCA" w:rsidRPr="00C50275">
        <w:rPr>
          <w:szCs w:val="22"/>
        </w:rPr>
        <w:t xml:space="preserve"> below shows the plan benefit factors based on the 2017 CHSD benchmark data.</w:t>
      </w:r>
    </w:p>
    <w:p w14:paraId="06E040AA" w14:textId="151C6E4C" w:rsidR="00F60CCA" w:rsidRPr="00C50275" w:rsidRDefault="00C50275" w:rsidP="00AC6B79">
      <w:pPr>
        <w:pStyle w:val="Caption"/>
      </w:pPr>
      <w:r w:rsidRPr="00AC6B79">
        <w:t xml:space="preserve">Exhibit </w:t>
      </w:r>
      <w:r w:rsidR="001F3D44" w:rsidRPr="00AC6B79">
        <w:t>B</w:t>
      </w:r>
      <w:r w:rsidRPr="00AC6B79">
        <w:t>-1.</w:t>
      </w:r>
      <w:r w:rsidR="00F60CCA" w:rsidRPr="00AC6B79">
        <w:t xml:space="preserve"> Benchmark Plan Benefit Factors</w:t>
      </w:r>
      <w:r w:rsidRPr="00AC6B79">
        <w:t xml:space="preserve"> </w:t>
      </w:r>
      <w:r w:rsidR="00F60CCA" w:rsidRPr="00AC6B79">
        <w:t>Combined IP, OP, and Professional Coinsurance Range</w:t>
      </w:r>
      <w:r w:rsidRPr="00AC6B79">
        <w:t xml:space="preserve"> </w:t>
      </w:r>
      <w:r w:rsidR="00F60CCA" w:rsidRPr="00AC6B79">
        <w:t>Commercial, All MSAs, Limited to Under Age 65</w:t>
      </w:r>
    </w:p>
    <w:tbl>
      <w:tblPr>
        <w:tblW w:w="4674" w:type="pct"/>
        <w:tblLook w:val="04A0" w:firstRow="1" w:lastRow="0" w:firstColumn="1" w:lastColumn="0" w:noHBand="0" w:noVBand="1"/>
      </w:tblPr>
      <w:tblGrid>
        <w:gridCol w:w="3679"/>
        <w:gridCol w:w="844"/>
        <w:gridCol w:w="844"/>
        <w:gridCol w:w="844"/>
        <w:gridCol w:w="844"/>
        <w:gridCol w:w="844"/>
        <w:gridCol w:w="837"/>
      </w:tblGrid>
      <w:tr w:rsidR="00F60CCA" w:rsidRPr="00AC6B79" w14:paraId="7A0A036A" w14:textId="77777777" w:rsidTr="005C13A5">
        <w:trPr>
          <w:trHeight w:val="285"/>
        </w:trPr>
        <w:tc>
          <w:tcPr>
            <w:tcW w:w="2106" w:type="pct"/>
            <w:tcBorders>
              <w:top w:val="single" w:sz="4" w:space="0" w:color="auto"/>
              <w:left w:val="single" w:sz="4" w:space="0" w:color="auto"/>
              <w:bottom w:val="nil"/>
              <w:right w:val="single" w:sz="4" w:space="0" w:color="auto"/>
            </w:tcBorders>
            <w:shd w:val="clear" w:color="auto" w:fill="48A9C5" w:themeFill="text2"/>
            <w:noWrap/>
            <w:vAlign w:val="bottom"/>
            <w:hideMark/>
          </w:tcPr>
          <w:p w14:paraId="641D6357" w14:textId="77777777" w:rsidR="00F60CCA" w:rsidRPr="005C13A5" w:rsidRDefault="00F60CCA" w:rsidP="00BB41F7">
            <w:pPr>
              <w:spacing w:after="0"/>
              <w:rPr>
                <w:rFonts w:ascii="Arial Narrow" w:hAnsi="Arial Narrow"/>
                <w:b/>
                <w:bCs/>
                <w:color w:val="FFFFFF" w:themeColor="background1"/>
                <w:sz w:val="20"/>
              </w:rPr>
            </w:pPr>
          </w:p>
        </w:tc>
        <w:tc>
          <w:tcPr>
            <w:tcW w:w="2894" w:type="pct"/>
            <w:gridSpan w:val="6"/>
            <w:tcBorders>
              <w:top w:val="single" w:sz="8" w:space="0" w:color="auto"/>
              <w:left w:val="single" w:sz="4" w:space="0" w:color="auto"/>
              <w:bottom w:val="single" w:sz="4" w:space="0" w:color="auto"/>
              <w:right w:val="single" w:sz="8" w:space="0" w:color="000000"/>
            </w:tcBorders>
            <w:shd w:val="clear" w:color="auto" w:fill="48A9C5" w:themeFill="text2"/>
            <w:noWrap/>
            <w:vAlign w:val="bottom"/>
            <w:hideMark/>
          </w:tcPr>
          <w:p w14:paraId="5678F98A" w14:textId="77777777" w:rsidR="00F60CCA" w:rsidRPr="005C13A5" w:rsidRDefault="00F60CCA" w:rsidP="00BB41F7">
            <w:pPr>
              <w:spacing w:after="0"/>
              <w:jc w:val="center"/>
              <w:rPr>
                <w:rFonts w:ascii="Arial Narrow" w:hAnsi="Arial Narrow"/>
                <w:b/>
                <w:bCs/>
                <w:color w:val="FFFFFF" w:themeColor="background1"/>
                <w:sz w:val="20"/>
              </w:rPr>
            </w:pPr>
            <w:r w:rsidRPr="005C13A5">
              <w:rPr>
                <w:rFonts w:ascii="Arial Narrow" w:hAnsi="Arial Narrow"/>
                <w:b/>
                <w:bCs/>
                <w:color w:val="FFFFFF" w:themeColor="background1"/>
                <w:sz w:val="20"/>
              </w:rPr>
              <w:t>Plan Benefit Factors</w:t>
            </w:r>
          </w:p>
        </w:tc>
      </w:tr>
      <w:tr w:rsidR="00F60CCA" w:rsidRPr="00AC6B79" w14:paraId="74EF3E96" w14:textId="77777777" w:rsidTr="005C13A5">
        <w:trPr>
          <w:trHeight w:val="300"/>
        </w:trPr>
        <w:tc>
          <w:tcPr>
            <w:tcW w:w="2106" w:type="pct"/>
            <w:tcBorders>
              <w:top w:val="nil"/>
              <w:left w:val="single" w:sz="4" w:space="0" w:color="auto"/>
              <w:bottom w:val="single" w:sz="4" w:space="0" w:color="auto"/>
              <w:right w:val="single" w:sz="4" w:space="0" w:color="auto"/>
            </w:tcBorders>
            <w:shd w:val="clear" w:color="auto" w:fill="48A9C5" w:themeFill="text2"/>
            <w:noWrap/>
            <w:vAlign w:val="bottom"/>
            <w:hideMark/>
          </w:tcPr>
          <w:p w14:paraId="6D31E301" w14:textId="77777777" w:rsidR="00F60CCA" w:rsidRPr="005C13A5" w:rsidRDefault="00F60CCA" w:rsidP="00BB41F7">
            <w:pPr>
              <w:spacing w:after="0"/>
              <w:rPr>
                <w:rFonts w:ascii="Arial Narrow" w:hAnsi="Arial Narrow"/>
                <w:b/>
                <w:bCs/>
                <w:color w:val="FFFFFF" w:themeColor="background1"/>
                <w:sz w:val="20"/>
              </w:rPr>
            </w:pPr>
            <w:r w:rsidRPr="005C13A5">
              <w:rPr>
                <w:rFonts w:ascii="Arial Narrow" w:hAnsi="Arial Narrow"/>
                <w:b/>
                <w:bCs/>
                <w:color w:val="FFFFFF" w:themeColor="background1"/>
                <w:sz w:val="20"/>
              </w:rPr>
              <w:t>2017 Milliman Benchmark (Nationwide)</w:t>
            </w:r>
          </w:p>
        </w:tc>
        <w:tc>
          <w:tcPr>
            <w:tcW w:w="1449" w:type="pct"/>
            <w:gridSpan w:val="3"/>
            <w:tcBorders>
              <w:top w:val="single" w:sz="4" w:space="0" w:color="auto"/>
              <w:left w:val="single" w:sz="4" w:space="0" w:color="auto"/>
              <w:bottom w:val="single" w:sz="4" w:space="0" w:color="auto"/>
              <w:right w:val="single" w:sz="4" w:space="0" w:color="000000"/>
            </w:tcBorders>
            <w:shd w:val="clear" w:color="auto" w:fill="48A9C5" w:themeFill="text2"/>
            <w:noWrap/>
            <w:vAlign w:val="bottom"/>
            <w:hideMark/>
          </w:tcPr>
          <w:p w14:paraId="2DDE93FA" w14:textId="77777777" w:rsidR="00F60CCA" w:rsidRPr="005C13A5" w:rsidRDefault="00F60CCA" w:rsidP="00BB41F7">
            <w:pPr>
              <w:spacing w:after="0"/>
              <w:jc w:val="center"/>
              <w:rPr>
                <w:rFonts w:ascii="Arial Narrow" w:hAnsi="Arial Narrow"/>
                <w:b/>
                <w:bCs/>
                <w:color w:val="FFFFFF" w:themeColor="background1"/>
                <w:sz w:val="20"/>
              </w:rPr>
            </w:pPr>
            <w:r w:rsidRPr="005C13A5">
              <w:rPr>
                <w:rFonts w:ascii="Arial Narrow" w:hAnsi="Arial Narrow"/>
                <w:b/>
                <w:bCs/>
                <w:color w:val="FFFFFF" w:themeColor="background1"/>
                <w:sz w:val="20"/>
              </w:rPr>
              <w:t>RVU</w:t>
            </w:r>
          </w:p>
        </w:tc>
        <w:tc>
          <w:tcPr>
            <w:tcW w:w="1445" w:type="pct"/>
            <w:gridSpan w:val="3"/>
            <w:tcBorders>
              <w:top w:val="single" w:sz="4" w:space="0" w:color="auto"/>
              <w:left w:val="single" w:sz="4" w:space="0" w:color="auto"/>
              <w:bottom w:val="single" w:sz="4" w:space="0" w:color="auto"/>
              <w:right w:val="single" w:sz="8" w:space="0" w:color="000000"/>
            </w:tcBorders>
            <w:shd w:val="clear" w:color="auto" w:fill="48A9C5" w:themeFill="text2"/>
            <w:noWrap/>
            <w:vAlign w:val="bottom"/>
            <w:hideMark/>
          </w:tcPr>
          <w:p w14:paraId="4EDFA5FA" w14:textId="77777777" w:rsidR="00F60CCA" w:rsidRPr="005C13A5" w:rsidRDefault="00F60CCA" w:rsidP="00BB41F7">
            <w:pPr>
              <w:spacing w:after="0"/>
              <w:jc w:val="center"/>
              <w:rPr>
                <w:rFonts w:ascii="Arial Narrow" w:hAnsi="Arial Narrow"/>
                <w:b/>
                <w:bCs/>
                <w:color w:val="FFFFFF" w:themeColor="background1"/>
                <w:sz w:val="20"/>
              </w:rPr>
            </w:pPr>
            <w:r w:rsidRPr="005C13A5">
              <w:rPr>
                <w:rFonts w:ascii="Arial Narrow" w:hAnsi="Arial Narrow"/>
                <w:b/>
                <w:bCs/>
                <w:color w:val="FFFFFF" w:themeColor="background1"/>
                <w:sz w:val="20"/>
              </w:rPr>
              <w:t>Allowed</w:t>
            </w:r>
          </w:p>
        </w:tc>
      </w:tr>
      <w:tr w:rsidR="00F60CCA" w:rsidRPr="00AC6B79" w14:paraId="36DE9A27" w14:textId="77777777" w:rsidTr="005C13A5">
        <w:trPr>
          <w:trHeight w:val="285"/>
        </w:trPr>
        <w:tc>
          <w:tcPr>
            <w:tcW w:w="2106" w:type="pct"/>
            <w:tcBorders>
              <w:top w:val="single" w:sz="4" w:space="0" w:color="auto"/>
              <w:left w:val="single" w:sz="4" w:space="0" w:color="auto"/>
              <w:bottom w:val="single" w:sz="4" w:space="0" w:color="auto"/>
              <w:right w:val="nil"/>
            </w:tcBorders>
            <w:shd w:val="clear" w:color="auto" w:fill="48A9C5" w:themeFill="text2"/>
            <w:vAlign w:val="bottom"/>
            <w:hideMark/>
          </w:tcPr>
          <w:p w14:paraId="1940E75F" w14:textId="77777777" w:rsidR="00F60CCA" w:rsidRPr="005C13A5" w:rsidRDefault="00F60CCA" w:rsidP="00BB41F7">
            <w:pPr>
              <w:spacing w:after="0"/>
              <w:rPr>
                <w:rFonts w:ascii="Arial Narrow" w:hAnsi="Arial Narrow"/>
                <w:b/>
                <w:bCs/>
                <w:color w:val="FFFFFF" w:themeColor="background1"/>
                <w:sz w:val="20"/>
              </w:rPr>
            </w:pPr>
            <w:r w:rsidRPr="005C13A5">
              <w:rPr>
                <w:rFonts w:ascii="Arial Narrow" w:hAnsi="Arial Narrow"/>
                <w:b/>
                <w:bCs/>
                <w:color w:val="FFFFFF" w:themeColor="background1"/>
                <w:sz w:val="20"/>
              </w:rPr>
              <w:t xml:space="preserve">Plan Coinsurance Range </w:t>
            </w:r>
          </w:p>
        </w:tc>
        <w:tc>
          <w:tcPr>
            <w:tcW w:w="483" w:type="pct"/>
            <w:tcBorders>
              <w:top w:val="nil"/>
              <w:left w:val="single" w:sz="8" w:space="0" w:color="auto"/>
              <w:bottom w:val="single" w:sz="4" w:space="0" w:color="auto"/>
              <w:right w:val="single" w:sz="4" w:space="0" w:color="auto"/>
            </w:tcBorders>
            <w:shd w:val="clear" w:color="auto" w:fill="48A9C5" w:themeFill="text2"/>
            <w:vAlign w:val="bottom"/>
            <w:hideMark/>
          </w:tcPr>
          <w:p w14:paraId="69F8EA1F" w14:textId="77777777" w:rsidR="00F60CCA" w:rsidRPr="005C13A5" w:rsidRDefault="00F60CCA" w:rsidP="00BB41F7">
            <w:pPr>
              <w:spacing w:after="0"/>
              <w:jc w:val="center"/>
              <w:rPr>
                <w:rFonts w:ascii="Arial Narrow" w:hAnsi="Arial Narrow"/>
                <w:b/>
                <w:bCs/>
                <w:color w:val="FFFFFF" w:themeColor="background1"/>
                <w:sz w:val="20"/>
              </w:rPr>
            </w:pPr>
            <w:r w:rsidRPr="005C13A5">
              <w:rPr>
                <w:rFonts w:ascii="Arial Narrow" w:hAnsi="Arial Narrow"/>
                <w:b/>
                <w:bCs/>
                <w:color w:val="FFFFFF" w:themeColor="background1"/>
                <w:sz w:val="20"/>
              </w:rPr>
              <w:t>IP</w:t>
            </w:r>
          </w:p>
        </w:tc>
        <w:tc>
          <w:tcPr>
            <w:tcW w:w="483" w:type="pct"/>
            <w:tcBorders>
              <w:top w:val="nil"/>
              <w:left w:val="nil"/>
              <w:bottom w:val="single" w:sz="4" w:space="0" w:color="auto"/>
              <w:right w:val="single" w:sz="4" w:space="0" w:color="auto"/>
            </w:tcBorders>
            <w:shd w:val="clear" w:color="auto" w:fill="48A9C5" w:themeFill="text2"/>
            <w:vAlign w:val="bottom"/>
            <w:hideMark/>
          </w:tcPr>
          <w:p w14:paraId="0D3A9376" w14:textId="77777777" w:rsidR="00F60CCA" w:rsidRPr="005C13A5" w:rsidRDefault="00F60CCA" w:rsidP="00BB41F7">
            <w:pPr>
              <w:spacing w:after="0"/>
              <w:jc w:val="center"/>
              <w:rPr>
                <w:rFonts w:ascii="Arial Narrow" w:hAnsi="Arial Narrow"/>
                <w:b/>
                <w:bCs/>
                <w:color w:val="FFFFFF" w:themeColor="background1"/>
                <w:sz w:val="20"/>
              </w:rPr>
            </w:pPr>
            <w:r w:rsidRPr="005C13A5">
              <w:rPr>
                <w:rFonts w:ascii="Arial Narrow" w:hAnsi="Arial Narrow"/>
                <w:b/>
                <w:bCs/>
                <w:color w:val="FFFFFF" w:themeColor="background1"/>
                <w:sz w:val="20"/>
              </w:rPr>
              <w:t>OP</w:t>
            </w:r>
          </w:p>
        </w:tc>
        <w:tc>
          <w:tcPr>
            <w:tcW w:w="483" w:type="pct"/>
            <w:tcBorders>
              <w:top w:val="nil"/>
              <w:left w:val="nil"/>
              <w:bottom w:val="single" w:sz="4" w:space="0" w:color="auto"/>
              <w:right w:val="single" w:sz="4" w:space="0" w:color="auto"/>
            </w:tcBorders>
            <w:shd w:val="clear" w:color="auto" w:fill="48A9C5" w:themeFill="text2"/>
            <w:vAlign w:val="bottom"/>
            <w:hideMark/>
          </w:tcPr>
          <w:p w14:paraId="1B37D46F" w14:textId="77777777" w:rsidR="00F60CCA" w:rsidRPr="005C13A5" w:rsidRDefault="00F60CCA" w:rsidP="00BB41F7">
            <w:pPr>
              <w:spacing w:after="0"/>
              <w:jc w:val="center"/>
              <w:rPr>
                <w:rFonts w:ascii="Arial Narrow" w:hAnsi="Arial Narrow"/>
                <w:b/>
                <w:bCs/>
                <w:color w:val="FFFFFF" w:themeColor="background1"/>
                <w:sz w:val="20"/>
              </w:rPr>
            </w:pPr>
            <w:r w:rsidRPr="005C13A5">
              <w:rPr>
                <w:rFonts w:ascii="Arial Narrow" w:hAnsi="Arial Narrow"/>
                <w:b/>
                <w:bCs/>
                <w:color w:val="FFFFFF" w:themeColor="background1"/>
                <w:sz w:val="20"/>
              </w:rPr>
              <w:t>Prof</w:t>
            </w:r>
          </w:p>
        </w:tc>
        <w:tc>
          <w:tcPr>
            <w:tcW w:w="483" w:type="pct"/>
            <w:tcBorders>
              <w:top w:val="nil"/>
              <w:left w:val="nil"/>
              <w:bottom w:val="single" w:sz="4" w:space="0" w:color="auto"/>
              <w:right w:val="single" w:sz="4" w:space="0" w:color="auto"/>
            </w:tcBorders>
            <w:shd w:val="clear" w:color="auto" w:fill="48A9C5" w:themeFill="text2"/>
            <w:vAlign w:val="bottom"/>
            <w:hideMark/>
          </w:tcPr>
          <w:p w14:paraId="47DD7380" w14:textId="77777777" w:rsidR="00F60CCA" w:rsidRPr="005C13A5" w:rsidRDefault="00F60CCA" w:rsidP="00BB41F7">
            <w:pPr>
              <w:spacing w:after="0"/>
              <w:jc w:val="center"/>
              <w:rPr>
                <w:rFonts w:ascii="Arial Narrow" w:hAnsi="Arial Narrow"/>
                <w:b/>
                <w:bCs/>
                <w:color w:val="FFFFFF" w:themeColor="background1"/>
                <w:sz w:val="20"/>
              </w:rPr>
            </w:pPr>
            <w:r w:rsidRPr="005C13A5">
              <w:rPr>
                <w:rFonts w:ascii="Arial Narrow" w:hAnsi="Arial Narrow"/>
                <w:b/>
                <w:bCs/>
                <w:color w:val="FFFFFF" w:themeColor="background1"/>
                <w:sz w:val="20"/>
              </w:rPr>
              <w:t>IP</w:t>
            </w:r>
          </w:p>
        </w:tc>
        <w:tc>
          <w:tcPr>
            <w:tcW w:w="483" w:type="pct"/>
            <w:tcBorders>
              <w:top w:val="nil"/>
              <w:left w:val="nil"/>
              <w:bottom w:val="single" w:sz="4" w:space="0" w:color="auto"/>
              <w:right w:val="single" w:sz="4" w:space="0" w:color="auto"/>
            </w:tcBorders>
            <w:shd w:val="clear" w:color="auto" w:fill="48A9C5" w:themeFill="text2"/>
            <w:vAlign w:val="bottom"/>
            <w:hideMark/>
          </w:tcPr>
          <w:p w14:paraId="15A4D2CA" w14:textId="77777777" w:rsidR="00F60CCA" w:rsidRPr="005C13A5" w:rsidRDefault="00F60CCA" w:rsidP="00BB41F7">
            <w:pPr>
              <w:spacing w:after="0"/>
              <w:jc w:val="center"/>
              <w:rPr>
                <w:rFonts w:ascii="Arial Narrow" w:hAnsi="Arial Narrow"/>
                <w:b/>
                <w:bCs/>
                <w:color w:val="FFFFFF" w:themeColor="background1"/>
                <w:sz w:val="20"/>
              </w:rPr>
            </w:pPr>
            <w:r w:rsidRPr="005C13A5">
              <w:rPr>
                <w:rFonts w:ascii="Arial Narrow" w:hAnsi="Arial Narrow"/>
                <w:b/>
                <w:bCs/>
                <w:color w:val="FFFFFF" w:themeColor="background1"/>
                <w:sz w:val="20"/>
              </w:rPr>
              <w:t>OP</w:t>
            </w:r>
          </w:p>
        </w:tc>
        <w:tc>
          <w:tcPr>
            <w:tcW w:w="479" w:type="pct"/>
            <w:tcBorders>
              <w:top w:val="nil"/>
              <w:left w:val="nil"/>
              <w:bottom w:val="single" w:sz="4" w:space="0" w:color="auto"/>
              <w:right w:val="single" w:sz="8" w:space="0" w:color="auto"/>
            </w:tcBorders>
            <w:shd w:val="clear" w:color="auto" w:fill="48A9C5" w:themeFill="text2"/>
            <w:vAlign w:val="bottom"/>
            <w:hideMark/>
          </w:tcPr>
          <w:p w14:paraId="6F374853" w14:textId="77777777" w:rsidR="00F60CCA" w:rsidRPr="005C13A5" w:rsidRDefault="00F60CCA" w:rsidP="00BB41F7">
            <w:pPr>
              <w:spacing w:after="0"/>
              <w:jc w:val="center"/>
              <w:rPr>
                <w:rFonts w:ascii="Arial Narrow" w:hAnsi="Arial Narrow"/>
                <w:b/>
                <w:bCs/>
                <w:color w:val="FFFFFF" w:themeColor="background1"/>
                <w:sz w:val="20"/>
              </w:rPr>
            </w:pPr>
            <w:r w:rsidRPr="005C13A5">
              <w:rPr>
                <w:rFonts w:ascii="Arial Narrow" w:hAnsi="Arial Narrow"/>
                <w:b/>
                <w:bCs/>
                <w:color w:val="FFFFFF" w:themeColor="background1"/>
                <w:sz w:val="20"/>
              </w:rPr>
              <w:t>Prof</w:t>
            </w:r>
          </w:p>
        </w:tc>
      </w:tr>
      <w:tr w:rsidR="00F60CCA" w:rsidRPr="00AC6B79" w14:paraId="50FD95BA" w14:textId="77777777" w:rsidTr="00AC6B79">
        <w:trPr>
          <w:trHeight w:val="285"/>
        </w:trPr>
        <w:tc>
          <w:tcPr>
            <w:tcW w:w="2106" w:type="pct"/>
            <w:tcBorders>
              <w:top w:val="nil"/>
              <w:left w:val="single" w:sz="4" w:space="0" w:color="auto"/>
              <w:bottom w:val="single" w:sz="4" w:space="0" w:color="auto"/>
              <w:right w:val="nil"/>
            </w:tcBorders>
            <w:shd w:val="clear" w:color="auto" w:fill="auto"/>
            <w:noWrap/>
            <w:vAlign w:val="bottom"/>
            <w:hideMark/>
          </w:tcPr>
          <w:p w14:paraId="14CCA9B4" w14:textId="77777777" w:rsidR="00F60CCA" w:rsidRPr="00AC6B79" w:rsidRDefault="00F60CCA" w:rsidP="00BB41F7">
            <w:pPr>
              <w:spacing w:after="0"/>
              <w:rPr>
                <w:rFonts w:ascii="Arial Narrow" w:hAnsi="Arial Narrow"/>
                <w:sz w:val="20"/>
              </w:rPr>
            </w:pPr>
            <w:r w:rsidRPr="00AC6B79">
              <w:rPr>
                <w:rFonts w:ascii="Arial Narrow" w:hAnsi="Arial Narrow"/>
                <w:sz w:val="20"/>
              </w:rPr>
              <w:t>95%+</w:t>
            </w:r>
          </w:p>
        </w:tc>
        <w:tc>
          <w:tcPr>
            <w:tcW w:w="483" w:type="pct"/>
            <w:tcBorders>
              <w:top w:val="single" w:sz="4" w:space="0" w:color="auto"/>
              <w:left w:val="single" w:sz="8" w:space="0" w:color="auto"/>
              <w:bottom w:val="single" w:sz="4" w:space="0" w:color="auto"/>
              <w:right w:val="single" w:sz="4" w:space="0" w:color="auto"/>
            </w:tcBorders>
            <w:shd w:val="clear" w:color="000000" w:fill="63BE7B"/>
            <w:noWrap/>
            <w:hideMark/>
          </w:tcPr>
          <w:p w14:paraId="0A972893" w14:textId="77777777" w:rsidR="00F60CCA" w:rsidRPr="00AC6B79" w:rsidRDefault="00F60CCA" w:rsidP="00BB41F7">
            <w:pPr>
              <w:jc w:val="center"/>
              <w:rPr>
                <w:rFonts w:ascii="Arial Narrow" w:hAnsi="Arial Narrow"/>
                <w:sz w:val="20"/>
              </w:rPr>
            </w:pPr>
            <w:r w:rsidRPr="00AC6B79">
              <w:rPr>
                <w:rFonts w:ascii="Arial Narrow" w:hAnsi="Arial Narrow"/>
                <w:sz w:val="20"/>
              </w:rPr>
              <w:t>1.142</w:t>
            </w:r>
          </w:p>
        </w:tc>
        <w:tc>
          <w:tcPr>
            <w:tcW w:w="483" w:type="pct"/>
            <w:tcBorders>
              <w:top w:val="single" w:sz="4" w:space="0" w:color="auto"/>
              <w:left w:val="single" w:sz="4" w:space="0" w:color="auto"/>
              <w:bottom w:val="single" w:sz="4" w:space="0" w:color="auto"/>
              <w:right w:val="single" w:sz="4" w:space="0" w:color="auto"/>
            </w:tcBorders>
            <w:shd w:val="clear" w:color="000000" w:fill="63BE7B"/>
            <w:noWrap/>
            <w:hideMark/>
          </w:tcPr>
          <w:p w14:paraId="63FC3C22" w14:textId="77777777" w:rsidR="00F60CCA" w:rsidRPr="00AC6B79" w:rsidRDefault="00F60CCA" w:rsidP="00BB41F7">
            <w:pPr>
              <w:jc w:val="center"/>
              <w:rPr>
                <w:rFonts w:ascii="Arial Narrow" w:hAnsi="Arial Narrow"/>
                <w:sz w:val="20"/>
              </w:rPr>
            </w:pPr>
            <w:r w:rsidRPr="00AC6B79">
              <w:rPr>
                <w:rFonts w:ascii="Arial Narrow" w:hAnsi="Arial Narrow"/>
                <w:sz w:val="20"/>
              </w:rPr>
              <w:t>1.061</w:t>
            </w:r>
          </w:p>
        </w:tc>
        <w:tc>
          <w:tcPr>
            <w:tcW w:w="483" w:type="pct"/>
            <w:tcBorders>
              <w:top w:val="single" w:sz="4" w:space="0" w:color="auto"/>
              <w:left w:val="single" w:sz="4" w:space="0" w:color="auto"/>
              <w:bottom w:val="single" w:sz="4" w:space="0" w:color="auto"/>
              <w:right w:val="single" w:sz="4" w:space="0" w:color="auto"/>
            </w:tcBorders>
            <w:shd w:val="clear" w:color="000000" w:fill="63BE7B"/>
            <w:noWrap/>
            <w:hideMark/>
          </w:tcPr>
          <w:p w14:paraId="5E9BCF0C" w14:textId="77777777" w:rsidR="00F60CCA" w:rsidRPr="00AC6B79" w:rsidRDefault="00F60CCA" w:rsidP="00BB41F7">
            <w:pPr>
              <w:jc w:val="center"/>
              <w:rPr>
                <w:rFonts w:ascii="Arial Narrow" w:hAnsi="Arial Narrow"/>
                <w:sz w:val="20"/>
              </w:rPr>
            </w:pPr>
            <w:r w:rsidRPr="00AC6B79">
              <w:rPr>
                <w:rFonts w:ascii="Arial Narrow" w:hAnsi="Arial Narrow"/>
                <w:sz w:val="20"/>
              </w:rPr>
              <w:t>1.070</w:t>
            </w:r>
          </w:p>
        </w:tc>
        <w:tc>
          <w:tcPr>
            <w:tcW w:w="483" w:type="pct"/>
            <w:tcBorders>
              <w:top w:val="single" w:sz="4" w:space="0" w:color="auto"/>
              <w:left w:val="single" w:sz="4" w:space="0" w:color="auto"/>
              <w:bottom w:val="single" w:sz="4" w:space="0" w:color="auto"/>
              <w:right w:val="single" w:sz="4" w:space="0" w:color="auto"/>
            </w:tcBorders>
            <w:shd w:val="clear" w:color="000000" w:fill="63BE7B"/>
            <w:noWrap/>
            <w:hideMark/>
          </w:tcPr>
          <w:p w14:paraId="1A62F260" w14:textId="77777777" w:rsidR="00F60CCA" w:rsidRPr="00AC6B79" w:rsidRDefault="00F60CCA" w:rsidP="00BB41F7">
            <w:pPr>
              <w:jc w:val="center"/>
              <w:rPr>
                <w:rFonts w:ascii="Arial Narrow" w:hAnsi="Arial Narrow"/>
                <w:sz w:val="20"/>
              </w:rPr>
            </w:pPr>
            <w:r w:rsidRPr="00AC6B79">
              <w:rPr>
                <w:rFonts w:ascii="Arial Narrow" w:hAnsi="Arial Narrow"/>
                <w:sz w:val="20"/>
              </w:rPr>
              <w:t>1.216</w:t>
            </w:r>
          </w:p>
        </w:tc>
        <w:tc>
          <w:tcPr>
            <w:tcW w:w="483" w:type="pct"/>
            <w:tcBorders>
              <w:top w:val="single" w:sz="4" w:space="0" w:color="auto"/>
              <w:left w:val="single" w:sz="4" w:space="0" w:color="auto"/>
              <w:bottom w:val="single" w:sz="4" w:space="0" w:color="auto"/>
              <w:right w:val="single" w:sz="4" w:space="0" w:color="auto"/>
            </w:tcBorders>
            <w:shd w:val="clear" w:color="000000" w:fill="63BE7B"/>
            <w:noWrap/>
            <w:hideMark/>
          </w:tcPr>
          <w:p w14:paraId="60F91FBE" w14:textId="77777777" w:rsidR="00F60CCA" w:rsidRPr="00AC6B79" w:rsidRDefault="00F60CCA" w:rsidP="00BB41F7">
            <w:pPr>
              <w:jc w:val="center"/>
              <w:rPr>
                <w:rFonts w:ascii="Arial Narrow" w:hAnsi="Arial Narrow"/>
                <w:sz w:val="20"/>
              </w:rPr>
            </w:pPr>
            <w:r w:rsidRPr="00AC6B79">
              <w:rPr>
                <w:rFonts w:ascii="Arial Narrow" w:hAnsi="Arial Narrow"/>
                <w:sz w:val="20"/>
              </w:rPr>
              <w:t>1.063</w:t>
            </w:r>
          </w:p>
        </w:tc>
        <w:tc>
          <w:tcPr>
            <w:tcW w:w="479" w:type="pct"/>
            <w:tcBorders>
              <w:top w:val="single" w:sz="4" w:space="0" w:color="auto"/>
              <w:left w:val="single" w:sz="4" w:space="0" w:color="auto"/>
              <w:bottom w:val="single" w:sz="4" w:space="0" w:color="auto"/>
              <w:right w:val="single" w:sz="8" w:space="0" w:color="auto"/>
            </w:tcBorders>
            <w:shd w:val="clear" w:color="000000" w:fill="63BE7B"/>
            <w:noWrap/>
            <w:hideMark/>
          </w:tcPr>
          <w:p w14:paraId="5043B82E" w14:textId="77777777" w:rsidR="00F60CCA" w:rsidRPr="00AC6B79" w:rsidRDefault="00F60CCA" w:rsidP="00BB41F7">
            <w:pPr>
              <w:jc w:val="center"/>
              <w:rPr>
                <w:rFonts w:ascii="Arial Narrow" w:hAnsi="Arial Narrow"/>
                <w:sz w:val="20"/>
              </w:rPr>
            </w:pPr>
            <w:r w:rsidRPr="00AC6B79">
              <w:rPr>
                <w:rFonts w:ascii="Arial Narrow" w:hAnsi="Arial Narrow"/>
                <w:sz w:val="20"/>
              </w:rPr>
              <w:t>1.050</w:t>
            </w:r>
          </w:p>
        </w:tc>
      </w:tr>
      <w:tr w:rsidR="00F60CCA" w:rsidRPr="00AC6B79" w14:paraId="393562B2" w14:textId="77777777" w:rsidTr="00AC6B79">
        <w:trPr>
          <w:trHeight w:val="285"/>
        </w:trPr>
        <w:tc>
          <w:tcPr>
            <w:tcW w:w="2106" w:type="pct"/>
            <w:tcBorders>
              <w:top w:val="nil"/>
              <w:left w:val="single" w:sz="4" w:space="0" w:color="auto"/>
              <w:bottom w:val="single" w:sz="4" w:space="0" w:color="auto"/>
              <w:right w:val="nil"/>
            </w:tcBorders>
            <w:shd w:val="clear" w:color="auto" w:fill="auto"/>
            <w:noWrap/>
            <w:vAlign w:val="bottom"/>
            <w:hideMark/>
          </w:tcPr>
          <w:p w14:paraId="2B65D252" w14:textId="77777777" w:rsidR="00F60CCA" w:rsidRPr="00AC6B79" w:rsidRDefault="00F60CCA" w:rsidP="00BB41F7">
            <w:pPr>
              <w:spacing w:after="0"/>
              <w:rPr>
                <w:rFonts w:ascii="Arial Narrow" w:hAnsi="Arial Narrow"/>
                <w:sz w:val="20"/>
              </w:rPr>
            </w:pPr>
            <w:r w:rsidRPr="00AC6B79">
              <w:rPr>
                <w:rFonts w:ascii="Arial Narrow" w:hAnsi="Arial Narrow"/>
                <w:sz w:val="20"/>
              </w:rPr>
              <w:t>85%-95%</w:t>
            </w:r>
          </w:p>
        </w:tc>
        <w:tc>
          <w:tcPr>
            <w:tcW w:w="483" w:type="pct"/>
            <w:tcBorders>
              <w:top w:val="single" w:sz="4" w:space="0" w:color="auto"/>
              <w:left w:val="single" w:sz="8" w:space="0" w:color="auto"/>
              <w:bottom w:val="single" w:sz="4" w:space="0" w:color="auto"/>
              <w:right w:val="single" w:sz="4" w:space="0" w:color="auto"/>
            </w:tcBorders>
            <w:shd w:val="clear" w:color="000000" w:fill="7AC88F"/>
            <w:noWrap/>
            <w:hideMark/>
          </w:tcPr>
          <w:p w14:paraId="7C424DC8" w14:textId="77777777" w:rsidR="00F60CCA" w:rsidRPr="00AC6B79" w:rsidRDefault="00F60CCA" w:rsidP="00BB41F7">
            <w:pPr>
              <w:jc w:val="center"/>
              <w:rPr>
                <w:rFonts w:ascii="Arial Narrow" w:hAnsi="Arial Narrow"/>
                <w:sz w:val="20"/>
              </w:rPr>
            </w:pPr>
            <w:r w:rsidRPr="00AC6B79">
              <w:rPr>
                <w:rFonts w:ascii="Arial Narrow" w:hAnsi="Arial Narrow"/>
                <w:sz w:val="20"/>
              </w:rPr>
              <w:t>1.043</w:t>
            </w:r>
          </w:p>
        </w:tc>
        <w:tc>
          <w:tcPr>
            <w:tcW w:w="483" w:type="pct"/>
            <w:tcBorders>
              <w:top w:val="single" w:sz="4" w:space="0" w:color="auto"/>
              <w:left w:val="single" w:sz="4" w:space="0" w:color="auto"/>
              <w:bottom w:val="single" w:sz="4" w:space="0" w:color="auto"/>
              <w:right w:val="single" w:sz="4" w:space="0" w:color="auto"/>
            </w:tcBorders>
            <w:shd w:val="clear" w:color="000000" w:fill="6BC182"/>
            <w:noWrap/>
            <w:hideMark/>
          </w:tcPr>
          <w:p w14:paraId="16AEE220" w14:textId="77777777" w:rsidR="00F60CCA" w:rsidRPr="00AC6B79" w:rsidRDefault="00F60CCA" w:rsidP="00BB41F7">
            <w:pPr>
              <w:jc w:val="center"/>
              <w:rPr>
                <w:rFonts w:ascii="Arial Narrow" w:hAnsi="Arial Narrow"/>
                <w:sz w:val="20"/>
              </w:rPr>
            </w:pPr>
            <w:r w:rsidRPr="00AC6B79">
              <w:rPr>
                <w:rFonts w:ascii="Arial Narrow" w:hAnsi="Arial Narrow"/>
                <w:sz w:val="20"/>
              </w:rPr>
              <w:t>1.039</w:t>
            </w:r>
          </w:p>
        </w:tc>
        <w:tc>
          <w:tcPr>
            <w:tcW w:w="483" w:type="pct"/>
            <w:tcBorders>
              <w:top w:val="single" w:sz="4" w:space="0" w:color="auto"/>
              <w:left w:val="single" w:sz="4" w:space="0" w:color="auto"/>
              <w:bottom w:val="single" w:sz="4" w:space="0" w:color="auto"/>
              <w:right w:val="single" w:sz="4" w:space="0" w:color="auto"/>
            </w:tcBorders>
            <w:shd w:val="clear" w:color="000000" w:fill="76C68B"/>
            <w:noWrap/>
            <w:hideMark/>
          </w:tcPr>
          <w:p w14:paraId="4E25B1D4" w14:textId="77777777" w:rsidR="00F60CCA" w:rsidRPr="00AC6B79" w:rsidRDefault="00F60CCA" w:rsidP="00BB41F7">
            <w:pPr>
              <w:jc w:val="center"/>
              <w:rPr>
                <w:rFonts w:ascii="Arial Narrow" w:hAnsi="Arial Narrow"/>
                <w:sz w:val="20"/>
              </w:rPr>
            </w:pPr>
            <w:r w:rsidRPr="00AC6B79">
              <w:rPr>
                <w:rFonts w:ascii="Arial Narrow" w:hAnsi="Arial Narrow"/>
                <w:sz w:val="20"/>
              </w:rPr>
              <w:t>1.032</w:t>
            </w:r>
          </w:p>
        </w:tc>
        <w:tc>
          <w:tcPr>
            <w:tcW w:w="483" w:type="pct"/>
            <w:tcBorders>
              <w:top w:val="single" w:sz="4" w:space="0" w:color="auto"/>
              <w:left w:val="single" w:sz="4" w:space="0" w:color="auto"/>
              <w:bottom w:val="single" w:sz="4" w:space="0" w:color="auto"/>
              <w:right w:val="single" w:sz="4" w:space="0" w:color="auto"/>
            </w:tcBorders>
            <w:shd w:val="clear" w:color="000000" w:fill="83CB97"/>
            <w:noWrap/>
            <w:hideMark/>
          </w:tcPr>
          <w:p w14:paraId="1723E171" w14:textId="77777777" w:rsidR="00F60CCA" w:rsidRPr="00AC6B79" w:rsidRDefault="00F60CCA" w:rsidP="00BB41F7">
            <w:pPr>
              <w:jc w:val="center"/>
              <w:rPr>
                <w:rFonts w:ascii="Arial Narrow" w:hAnsi="Arial Narrow"/>
                <w:sz w:val="20"/>
              </w:rPr>
            </w:pPr>
            <w:r w:rsidRPr="00AC6B79">
              <w:rPr>
                <w:rFonts w:ascii="Arial Narrow" w:hAnsi="Arial Narrow"/>
                <w:sz w:val="20"/>
              </w:rPr>
              <w:t>1.054</w:t>
            </w:r>
          </w:p>
        </w:tc>
        <w:tc>
          <w:tcPr>
            <w:tcW w:w="483" w:type="pct"/>
            <w:tcBorders>
              <w:top w:val="single" w:sz="4" w:space="0" w:color="auto"/>
              <w:left w:val="single" w:sz="4" w:space="0" w:color="auto"/>
              <w:bottom w:val="single" w:sz="4" w:space="0" w:color="auto"/>
              <w:right w:val="single" w:sz="4" w:space="0" w:color="auto"/>
            </w:tcBorders>
            <w:shd w:val="clear" w:color="000000" w:fill="6BC182"/>
            <w:noWrap/>
            <w:hideMark/>
          </w:tcPr>
          <w:p w14:paraId="568C7435" w14:textId="77777777" w:rsidR="00F60CCA" w:rsidRPr="00AC6B79" w:rsidRDefault="00F60CCA" w:rsidP="00BB41F7">
            <w:pPr>
              <w:jc w:val="center"/>
              <w:rPr>
                <w:rFonts w:ascii="Arial Narrow" w:hAnsi="Arial Narrow"/>
                <w:sz w:val="20"/>
              </w:rPr>
            </w:pPr>
            <w:r w:rsidRPr="00AC6B79">
              <w:rPr>
                <w:rFonts w:ascii="Arial Narrow" w:hAnsi="Arial Narrow"/>
                <w:sz w:val="20"/>
              </w:rPr>
              <w:t>1.037</w:t>
            </w:r>
          </w:p>
        </w:tc>
        <w:tc>
          <w:tcPr>
            <w:tcW w:w="479" w:type="pct"/>
            <w:tcBorders>
              <w:top w:val="single" w:sz="4" w:space="0" w:color="auto"/>
              <w:left w:val="single" w:sz="4" w:space="0" w:color="auto"/>
              <w:bottom w:val="single" w:sz="4" w:space="0" w:color="auto"/>
              <w:right w:val="single" w:sz="8" w:space="0" w:color="auto"/>
            </w:tcBorders>
            <w:shd w:val="clear" w:color="000000" w:fill="65BF7D"/>
            <w:noWrap/>
            <w:hideMark/>
          </w:tcPr>
          <w:p w14:paraId="6552EC05" w14:textId="77777777" w:rsidR="00F60CCA" w:rsidRPr="00AC6B79" w:rsidRDefault="00F60CCA" w:rsidP="00BB41F7">
            <w:pPr>
              <w:jc w:val="center"/>
              <w:rPr>
                <w:rFonts w:ascii="Arial Narrow" w:hAnsi="Arial Narrow"/>
                <w:sz w:val="20"/>
              </w:rPr>
            </w:pPr>
            <w:r w:rsidRPr="00AC6B79">
              <w:rPr>
                <w:rFonts w:ascii="Arial Narrow" w:hAnsi="Arial Narrow"/>
                <w:sz w:val="20"/>
              </w:rPr>
              <w:t>1.046</w:t>
            </w:r>
          </w:p>
        </w:tc>
      </w:tr>
      <w:tr w:rsidR="00F60CCA" w:rsidRPr="00AC6B79" w14:paraId="176793E8" w14:textId="77777777" w:rsidTr="00AC6B79">
        <w:trPr>
          <w:trHeight w:val="285"/>
        </w:trPr>
        <w:tc>
          <w:tcPr>
            <w:tcW w:w="2106" w:type="pct"/>
            <w:tcBorders>
              <w:top w:val="nil"/>
              <w:left w:val="single" w:sz="4" w:space="0" w:color="auto"/>
              <w:bottom w:val="single" w:sz="4" w:space="0" w:color="auto"/>
              <w:right w:val="nil"/>
            </w:tcBorders>
            <w:shd w:val="clear" w:color="auto" w:fill="auto"/>
            <w:noWrap/>
            <w:vAlign w:val="bottom"/>
            <w:hideMark/>
          </w:tcPr>
          <w:p w14:paraId="50180933" w14:textId="77777777" w:rsidR="00F60CCA" w:rsidRPr="00AC6B79" w:rsidRDefault="00F60CCA" w:rsidP="00BB41F7">
            <w:pPr>
              <w:spacing w:after="0"/>
              <w:rPr>
                <w:rFonts w:ascii="Arial Narrow" w:hAnsi="Arial Narrow"/>
                <w:sz w:val="20"/>
              </w:rPr>
            </w:pPr>
            <w:r w:rsidRPr="00AC6B79">
              <w:rPr>
                <w:rFonts w:ascii="Arial Narrow" w:hAnsi="Arial Narrow"/>
                <w:sz w:val="20"/>
              </w:rPr>
              <w:t>75%-85%</w:t>
            </w:r>
          </w:p>
        </w:tc>
        <w:tc>
          <w:tcPr>
            <w:tcW w:w="483" w:type="pct"/>
            <w:tcBorders>
              <w:top w:val="single" w:sz="4" w:space="0" w:color="auto"/>
              <w:left w:val="single" w:sz="8" w:space="0" w:color="auto"/>
              <w:bottom w:val="single" w:sz="4" w:space="0" w:color="auto"/>
              <w:right w:val="single" w:sz="4" w:space="0" w:color="auto"/>
            </w:tcBorders>
            <w:shd w:val="clear" w:color="000000" w:fill="86CD99"/>
            <w:noWrap/>
            <w:hideMark/>
          </w:tcPr>
          <w:p w14:paraId="4525CEC1" w14:textId="77777777" w:rsidR="00F60CCA" w:rsidRPr="00AC6B79" w:rsidRDefault="00F60CCA" w:rsidP="00BB41F7">
            <w:pPr>
              <w:jc w:val="center"/>
              <w:rPr>
                <w:rFonts w:ascii="Arial Narrow" w:hAnsi="Arial Narrow"/>
                <w:sz w:val="20"/>
              </w:rPr>
            </w:pPr>
            <w:r w:rsidRPr="00AC6B79">
              <w:rPr>
                <w:rFonts w:ascii="Arial Narrow" w:hAnsi="Arial Narrow"/>
                <w:sz w:val="20"/>
              </w:rPr>
              <w:t>0.992</w:t>
            </w:r>
          </w:p>
        </w:tc>
        <w:tc>
          <w:tcPr>
            <w:tcW w:w="483" w:type="pct"/>
            <w:tcBorders>
              <w:top w:val="single" w:sz="4" w:space="0" w:color="auto"/>
              <w:left w:val="single" w:sz="4" w:space="0" w:color="auto"/>
              <w:bottom w:val="single" w:sz="4" w:space="0" w:color="auto"/>
              <w:right w:val="single" w:sz="4" w:space="0" w:color="auto"/>
            </w:tcBorders>
            <w:shd w:val="clear" w:color="000000" w:fill="7CC991"/>
            <w:noWrap/>
            <w:hideMark/>
          </w:tcPr>
          <w:p w14:paraId="5679AB29" w14:textId="77777777" w:rsidR="00F60CCA" w:rsidRPr="00AC6B79" w:rsidRDefault="00F60CCA" w:rsidP="00BB41F7">
            <w:pPr>
              <w:jc w:val="center"/>
              <w:rPr>
                <w:rFonts w:ascii="Arial Narrow" w:hAnsi="Arial Narrow"/>
                <w:sz w:val="20"/>
              </w:rPr>
            </w:pPr>
            <w:r w:rsidRPr="00AC6B79">
              <w:rPr>
                <w:rFonts w:ascii="Arial Narrow" w:hAnsi="Arial Narrow"/>
                <w:sz w:val="20"/>
              </w:rPr>
              <w:t>0.987</w:t>
            </w:r>
          </w:p>
        </w:tc>
        <w:tc>
          <w:tcPr>
            <w:tcW w:w="483" w:type="pct"/>
            <w:tcBorders>
              <w:top w:val="single" w:sz="4" w:space="0" w:color="auto"/>
              <w:left w:val="single" w:sz="4" w:space="0" w:color="auto"/>
              <w:bottom w:val="single" w:sz="4" w:space="0" w:color="auto"/>
              <w:right w:val="single" w:sz="4" w:space="0" w:color="auto"/>
            </w:tcBorders>
            <w:shd w:val="clear" w:color="000000" w:fill="8ACE9D"/>
            <w:noWrap/>
            <w:hideMark/>
          </w:tcPr>
          <w:p w14:paraId="14A83710" w14:textId="77777777" w:rsidR="00F60CCA" w:rsidRPr="00AC6B79" w:rsidRDefault="00F60CCA" w:rsidP="00BB41F7">
            <w:pPr>
              <w:jc w:val="center"/>
              <w:rPr>
                <w:rFonts w:ascii="Arial Narrow" w:hAnsi="Arial Narrow"/>
                <w:sz w:val="20"/>
              </w:rPr>
            </w:pPr>
            <w:r w:rsidRPr="00AC6B79">
              <w:rPr>
                <w:rFonts w:ascii="Arial Narrow" w:hAnsi="Arial Narrow"/>
                <w:sz w:val="20"/>
              </w:rPr>
              <w:t>0.989</w:t>
            </w:r>
          </w:p>
        </w:tc>
        <w:tc>
          <w:tcPr>
            <w:tcW w:w="483" w:type="pct"/>
            <w:tcBorders>
              <w:top w:val="single" w:sz="4" w:space="0" w:color="auto"/>
              <w:left w:val="single" w:sz="4" w:space="0" w:color="auto"/>
              <w:bottom w:val="single" w:sz="4" w:space="0" w:color="auto"/>
              <w:right w:val="single" w:sz="4" w:space="0" w:color="auto"/>
            </w:tcBorders>
            <w:shd w:val="clear" w:color="000000" w:fill="93D2A4"/>
            <w:noWrap/>
            <w:hideMark/>
          </w:tcPr>
          <w:p w14:paraId="14551B42" w14:textId="77777777" w:rsidR="00F60CCA" w:rsidRPr="00AC6B79" w:rsidRDefault="00F60CCA" w:rsidP="00BB41F7">
            <w:pPr>
              <w:jc w:val="center"/>
              <w:rPr>
                <w:rFonts w:ascii="Arial Narrow" w:hAnsi="Arial Narrow"/>
                <w:sz w:val="20"/>
              </w:rPr>
            </w:pPr>
            <w:r w:rsidRPr="00AC6B79">
              <w:rPr>
                <w:rFonts w:ascii="Arial Narrow" w:hAnsi="Arial Narrow"/>
                <w:sz w:val="20"/>
              </w:rPr>
              <w:t>0.973</w:t>
            </w:r>
          </w:p>
        </w:tc>
        <w:tc>
          <w:tcPr>
            <w:tcW w:w="483" w:type="pct"/>
            <w:tcBorders>
              <w:top w:val="single" w:sz="4" w:space="0" w:color="auto"/>
              <w:left w:val="single" w:sz="4" w:space="0" w:color="auto"/>
              <w:bottom w:val="single" w:sz="4" w:space="0" w:color="auto"/>
              <w:right w:val="single" w:sz="4" w:space="0" w:color="auto"/>
            </w:tcBorders>
            <w:shd w:val="clear" w:color="000000" w:fill="76C68C"/>
            <w:noWrap/>
            <w:hideMark/>
          </w:tcPr>
          <w:p w14:paraId="20038088" w14:textId="77777777" w:rsidR="00F60CCA" w:rsidRPr="00AC6B79" w:rsidRDefault="00F60CCA" w:rsidP="00BB41F7">
            <w:pPr>
              <w:jc w:val="center"/>
              <w:rPr>
                <w:rFonts w:ascii="Arial Narrow" w:hAnsi="Arial Narrow"/>
                <w:sz w:val="20"/>
              </w:rPr>
            </w:pPr>
            <w:r w:rsidRPr="00AC6B79">
              <w:rPr>
                <w:rFonts w:ascii="Arial Narrow" w:hAnsi="Arial Narrow"/>
                <w:sz w:val="20"/>
              </w:rPr>
              <w:t>0.995</w:t>
            </w:r>
          </w:p>
        </w:tc>
        <w:tc>
          <w:tcPr>
            <w:tcW w:w="479" w:type="pct"/>
            <w:tcBorders>
              <w:top w:val="single" w:sz="4" w:space="0" w:color="auto"/>
              <w:left w:val="single" w:sz="4" w:space="0" w:color="auto"/>
              <w:bottom w:val="single" w:sz="4" w:space="0" w:color="auto"/>
              <w:right w:val="single" w:sz="8" w:space="0" w:color="auto"/>
            </w:tcBorders>
            <w:shd w:val="clear" w:color="000000" w:fill="7CC891"/>
            <w:noWrap/>
            <w:hideMark/>
          </w:tcPr>
          <w:p w14:paraId="416694CF" w14:textId="77777777" w:rsidR="00F60CCA" w:rsidRPr="00AC6B79" w:rsidRDefault="00F60CCA" w:rsidP="00BB41F7">
            <w:pPr>
              <w:jc w:val="center"/>
              <w:rPr>
                <w:rFonts w:ascii="Arial Narrow" w:hAnsi="Arial Narrow"/>
                <w:sz w:val="20"/>
              </w:rPr>
            </w:pPr>
            <w:r w:rsidRPr="00AC6B79">
              <w:rPr>
                <w:rFonts w:ascii="Arial Narrow" w:hAnsi="Arial Narrow"/>
                <w:sz w:val="20"/>
              </w:rPr>
              <w:t>0.986</w:t>
            </w:r>
          </w:p>
        </w:tc>
      </w:tr>
      <w:tr w:rsidR="00F60CCA" w:rsidRPr="00AC6B79" w14:paraId="2A92BBBE" w14:textId="77777777" w:rsidTr="00AC6B79">
        <w:trPr>
          <w:trHeight w:val="285"/>
        </w:trPr>
        <w:tc>
          <w:tcPr>
            <w:tcW w:w="2106" w:type="pct"/>
            <w:tcBorders>
              <w:top w:val="nil"/>
              <w:left w:val="single" w:sz="4" w:space="0" w:color="auto"/>
              <w:bottom w:val="single" w:sz="4" w:space="0" w:color="auto"/>
              <w:right w:val="nil"/>
            </w:tcBorders>
            <w:shd w:val="clear" w:color="auto" w:fill="auto"/>
            <w:noWrap/>
            <w:vAlign w:val="bottom"/>
            <w:hideMark/>
          </w:tcPr>
          <w:p w14:paraId="7BA1E26D" w14:textId="77777777" w:rsidR="00F60CCA" w:rsidRPr="00AC6B79" w:rsidRDefault="00F60CCA" w:rsidP="00BB41F7">
            <w:pPr>
              <w:spacing w:after="0"/>
              <w:rPr>
                <w:rFonts w:ascii="Arial Narrow" w:hAnsi="Arial Narrow"/>
                <w:sz w:val="20"/>
              </w:rPr>
            </w:pPr>
            <w:r w:rsidRPr="00AC6B79">
              <w:rPr>
                <w:rFonts w:ascii="Arial Narrow" w:hAnsi="Arial Narrow"/>
                <w:sz w:val="20"/>
              </w:rPr>
              <w:t>65%-75%</w:t>
            </w:r>
          </w:p>
        </w:tc>
        <w:tc>
          <w:tcPr>
            <w:tcW w:w="483" w:type="pct"/>
            <w:tcBorders>
              <w:top w:val="single" w:sz="4" w:space="0" w:color="auto"/>
              <w:left w:val="single" w:sz="8" w:space="0" w:color="auto"/>
              <w:bottom w:val="single" w:sz="4" w:space="0" w:color="auto"/>
              <w:right w:val="single" w:sz="4" w:space="0" w:color="auto"/>
            </w:tcBorders>
            <w:shd w:val="clear" w:color="000000" w:fill="A7DAB6"/>
            <w:noWrap/>
            <w:hideMark/>
          </w:tcPr>
          <w:p w14:paraId="0C7863D1" w14:textId="77777777" w:rsidR="00F60CCA" w:rsidRPr="00AC6B79" w:rsidRDefault="00F60CCA" w:rsidP="00BB41F7">
            <w:pPr>
              <w:jc w:val="center"/>
              <w:rPr>
                <w:rFonts w:ascii="Arial Narrow" w:hAnsi="Arial Narrow"/>
                <w:sz w:val="20"/>
              </w:rPr>
            </w:pPr>
            <w:r w:rsidRPr="00AC6B79">
              <w:rPr>
                <w:rFonts w:ascii="Arial Narrow" w:hAnsi="Arial Narrow"/>
                <w:sz w:val="20"/>
              </w:rPr>
              <w:t>0.850</w:t>
            </w:r>
          </w:p>
        </w:tc>
        <w:tc>
          <w:tcPr>
            <w:tcW w:w="483" w:type="pct"/>
            <w:tcBorders>
              <w:top w:val="single" w:sz="4" w:space="0" w:color="auto"/>
              <w:left w:val="single" w:sz="4" w:space="0" w:color="auto"/>
              <w:bottom w:val="single" w:sz="4" w:space="0" w:color="auto"/>
              <w:right w:val="single" w:sz="4" w:space="0" w:color="auto"/>
            </w:tcBorders>
            <w:shd w:val="clear" w:color="000000" w:fill="96D3A7"/>
            <w:noWrap/>
            <w:hideMark/>
          </w:tcPr>
          <w:p w14:paraId="0199F1EA" w14:textId="77777777" w:rsidR="00F60CCA" w:rsidRPr="00AC6B79" w:rsidRDefault="00F60CCA" w:rsidP="00BB41F7">
            <w:pPr>
              <w:jc w:val="center"/>
              <w:rPr>
                <w:rFonts w:ascii="Arial Narrow" w:hAnsi="Arial Narrow"/>
                <w:sz w:val="20"/>
              </w:rPr>
            </w:pPr>
            <w:r w:rsidRPr="00AC6B79">
              <w:rPr>
                <w:rFonts w:ascii="Arial Narrow" w:hAnsi="Arial Narrow"/>
                <w:sz w:val="20"/>
              </w:rPr>
              <w:t>0.910</w:t>
            </w:r>
          </w:p>
        </w:tc>
        <w:tc>
          <w:tcPr>
            <w:tcW w:w="483" w:type="pct"/>
            <w:tcBorders>
              <w:top w:val="single" w:sz="4" w:space="0" w:color="auto"/>
              <w:left w:val="single" w:sz="4" w:space="0" w:color="auto"/>
              <w:bottom w:val="single" w:sz="4" w:space="0" w:color="auto"/>
              <w:right w:val="single" w:sz="4" w:space="0" w:color="auto"/>
            </w:tcBorders>
            <w:shd w:val="clear" w:color="000000" w:fill="A0D7B0"/>
            <w:noWrap/>
            <w:hideMark/>
          </w:tcPr>
          <w:p w14:paraId="09E25F33" w14:textId="77777777" w:rsidR="00F60CCA" w:rsidRPr="00AC6B79" w:rsidRDefault="00F60CCA" w:rsidP="00BB41F7">
            <w:pPr>
              <w:jc w:val="center"/>
              <w:rPr>
                <w:rFonts w:ascii="Arial Narrow" w:hAnsi="Arial Narrow"/>
                <w:sz w:val="20"/>
              </w:rPr>
            </w:pPr>
            <w:r w:rsidRPr="00AC6B79">
              <w:rPr>
                <w:rFonts w:ascii="Arial Narrow" w:hAnsi="Arial Narrow"/>
                <w:sz w:val="20"/>
              </w:rPr>
              <w:t>0.942</w:t>
            </w:r>
          </w:p>
        </w:tc>
        <w:tc>
          <w:tcPr>
            <w:tcW w:w="483" w:type="pct"/>
            <w:tcBorders>
              <w:top w:val="single" w:sz="4" w:space="0" w:color="auto"/>
              <w:left w:val="single" w:sz="4" w:space="0" w:color="auto"/>
              <w:bottom w:val="single" w:sz="4" w:space="0" w:color="auto"/>
              <w:right w:val="single" w:sz="4" w:space="0" w:color="auto"/>
            </w:tcBorders>
            <w:shd w:val="clear" w:color="000000" w:fill="B0DEBE"/>
            <w:noWrap/>
            <w:hideMark/>
          </w:tcPr>
          <w:p w14:paraId="4C6ADC0E" w14:textId="77777777" w:rsidR="00F60CCA" w:rsidRPr="00AC6B79" w:rsidRDefault="00F60CCA" w:rsidP="00BB41F7">
            <w:pPr>
              <w:jc w:val="center"/>
              <w:rPr>
                <w:rFonts w:ascii="Arial Narrow" w:hAnsi="Arial Narrow"/>
                <w:sz w:val="20"/>
              </w:rPr>
            </w:pPr>
            <w:r w:rsidRPr="00AC6B79">
              <w:rPr>
                <w:rFonts w:ascii="Arial Narrow" w:hAnsi="Arial Narrow"/>
                <w:sz w:val="20"/>
              </w:rPr>
              <w:t>0.821</w:t>
            </w:r>
          </w:p>
        </w:tc>
        <w:tc>
          <w:tcPr>
            <w:tcW w:w="483" w:type="pct"/>
            <w:tcBorders>
              <w:top w:val="single" w:sz="4" w:space="0" w:color="auto"/>
              <w:left w:val="single" w:sz="4" w:space="0" w:color="auto"/>
              <w:bottom w:val="single" w:sz="4" w:space="0" w:color="auto"/>
              <w:right w:val="single" w:sz="4" w:space="0" w:color="auto"/>
            </w:tcBorders>
            <w:shd w:val="clear" w:color="000000" w:fill="92D1A4"/>
            <w:noWrap/>
            <w:hideMark/>
          </w:tcPr>
          <w:p w14:paraId="3A88D0BA" w14:textId="77777777" w:rsidR="00F60CCA" w:rsidRPr="00AC6B79" w:rsidRDefault="00F60CCA" w:rsidP="00BB41F7">
            <w:pPr>
              <w:jc w:val="center"/>
              <w:rPr>
                <w:rFonts w:ascii="Arial Narrow" w:hAnsi="Arial Narrow"/>
                <w:sz w:val="20"/>
              </w:rPr>
            </w:pPr>
            <w:r w:rsidRPr="00AC6B79">
              <w:rPr>
                <w:rFonts w:ascii="Arial Narrow" w:hAnsi="Arial Narrow"/>
                <w:sz w:val="20"/>
              </w:rPr>
              <w:t>0.895</w:t>
            </w:r>
          </w:p>
        </w:tc>
        <w:tc>
          <w:tcPr>
            <w:tcW w:w="479" w:type="pct"/>
            <w:tcBorders>
              <w:top w:val="single" w:sz="4" w:space="0" w:color="auto"/>
              <w:left w:val="single" w:sz="4" w:space="0" w:color="auto"/>
              <w:bottom w:val="single" w:sz="4" w:space="0" w:color="auto"/>
              <w:right w:val="single" w:sz="8" w:space="0" w:color="auto"/>
            </w:tcBorders>
            <w:shd w:val="clear" w:color="000000" w:fill="90D1A2"/>
            <w:noWrap/>
            <w:hideMark/>
          </w:tcPr>
          <w:p w14:paraId="2DBC443E" w14:textId="77777777" w:rsidR="00F60CCA" w:rsidRPr="00AC6B79" w:rsidRDefault="00F60CCA" w:rsidP="00BB41F7">
            <w:pPr>
              <w:jc w:val="center"/>
              <w:rPr>
                <w:rFonts w:ascii="Arial Narrow" w:hAnsi="Arial Narrow"/>
                <w:sz w:val="20"/>
              </w:rPr>
            </w:pPr>
            <w:r w:rsidRPr="00AC6B79">
              <w:rPr>
                <w:rFonts w:ascii="Arial Narrow" w:hAnsi="Arial Narrow"/>
                <w:sz w:val="20"/>
              </w:rPr>
              <w:t>0.934</w:t>
            </w:r>
          </w:p>
        </w:tc>
      </w:tr>
    </w:tbl>
    <w:p w14:paraId="36CFEC62" w14:textId="77777777" w:rsidR="00F60CCA" w:rsidRPr="00C50275" w:rsidRDefault="00F60CCA" w:rsidP="00F60CCA">
      <w:pPr>
        <w:spacing w:after="0"/>
        <w:rPr>
          <w:szCs w:val="22"/>
        </w:rPr>
      </w:pPr>
    </w:p>
    <w:p w14:paraId="61AC38DA" w14:textId="6AA9ECA4" w:rsidR="00F60CCA" w:rsidRPr="00C50275" w:rsidRDefault="00F60CCA" w:rsidP="00C50275">
      <w:pPr>
        <w:spacing w:after="120"/>
        <w:rPr>
          <w:szCs w:val="22"/>
        </w:rPr>
      </w:pPr>
      <w:r w:rsidRPr="00C50275">
        <w:rPr>
          <w:szCs w:val="22"/>
        </w:rPr>
        <w:t xml:space="preserve">To apply the normalization factors, </w:t>
      </w:r>
      <w:r w:rsidR="00AB34A0">
        <w:rPr>
          <w:szCs w:val="22"/>
        </w:rPr>
        <w:t>Milliman</w:t>
      </w:r>
      <w:r w:rsidR="00F0683C">
        <w:rPr>
          <w:szCs w:val="22"/>
        </w:rPr>
        <w:t xml:space="preserve"> </w:t>
      </w:r>
      <w:r w:rsidRPr="00C50275">
        <w:rPr>
          <w:szCs w:val="22"/>
        </w:rPr>
        <w:t>calculated the average overall coinsurance by area and interpolated between the plan benefit factors. For example (values are illustrative):</w:t>
      </w:r>
    </w:p>
    <w:p w14:paraId="270DE774" w14:textId="77777777" w:rsidR="00F60CCA" w:rsidRPr="00C50275" w:rsidRDefault="00F60CCA" w:rsidP="00C50275">
      <w:pPr>
        <w:pStyle w:val="ListParagraph"/>
        <w:numPr>
          <w:ilvl w:val="0"/>
          <w:numId w:val="28"/>
        </w:numPr>
        <w:spacing w:after="120" w:line="240" w:lineRule="auto"/>
        <w:contextualSpacing w:val="0"/>
        <w:rPr>
          <w:rFonts w:ascii="Times New Roman" w:hAnsi="Times New Roman" w:cs="Times New Roman"/>
        </w:rPr>
      </w:pPr>
      <w:r w:rsidRPr="00C50275">
        <w:rPr>
          <w:rFonts w:ascii="Times New Roman" w:hAnsi="Times New Roman" w:cs="Times New Roman"/>
        </w:rPr>
        <w:t>For a MSA, the average overall coinsurance is 84% and the risk adjusted IP RVU PMPM is 0.70</w:t>
      </w:r>
    </w:p>
    <w:p w14:paraId="5B7501F7" w14:textId="7E0FFA9F" w:rsidR="00F60CCA" w:rsidRPr="00C50275" w:rsidRDefault="00AB34A0" w:rsidP="00C50275">
      <w:pPr>
        <w:pStyle w:val="ListParagraph"/>
        <w:numPr>
          <w:ilvl w:val="0"/>
          <w:numId w:val="28"/>
        </w:numPr>
        <w:spacing w:after="120" w:line="240" w:lineRule="auto"/>
        <w:contextualSpacing w:val="0"/>
        <w:rPr>
          <w:rFonts w:ascii="Times New Roman" w:hAnsi="Times New Roman" w:cs="Times New Roman"/>
        </w:rPr>
      </w:pPr>
      <w:r>
        <w:rPr>
          <w:rFonts w:ascii="Times New Roman" w:hAnsi="Times New Roman" w:cs="Times New Roman"/>
        </w:rPr>
        <w:t>Milliman</w:t>
      </w:r>
      <w:r w:rsidR="00F60CCA" w:rsidRPr="00C50275">
        <w:rPr>
          <w:rFonts w:ascii="Times New Roman" w:hAnsi="Times New Roman" w:cs="Times New Roman"/>
        </w:rPr>
        <w:t xml:space="preserve"> interpolate</w:t>
      </w:r>
      <w:r>
        <w:rPr>
          <w:rFonts w:ascii="Times New Roman" w:hAnsi="Times New Roman" w:cs="Times New Roman"/>
        </w:rPr>
        <w:t>d</w:t>
      </w:r>
      <w:r w:rsidR="00F60CCA" w:rsidRPr="00C50275">
        <w:rPr>
          <w:rFonts w:ascii="Times New Roman" w:hAnsi="Times New Roman" w:cs="Times New Roman"/>
        </w:rPr>
        <w:t xml:space="preserve"> from mid-point to mid-point:</w:t>
      </w:r>
    </w:p>
    <w:p w14:paraId="32D93CBE" w14:textId="77777777" w:rsidR="00F60CCA" w:rsidRPr="00C50275" w:rsidRDefault="00F60CCA" w:rsidP="00C50275">
      <w:pPr>
        <w:pStyle w:val="ListParagraph"/>
        <w:numPr>
          <w:ilvl w:val="1"/>
          <w:numId w:val="28"/>
        </w:numPr>
        <w:spacing w:after="120" w:line="240" w:lineRule="auto"/>
        <w:contextualSpacing w:val="0"/>
        <w:rPr>
          <w:rFonts w:ascii="Times New Roman" w:hAnsi="Times New Roman" w:cs="Times New Roman"/>
        </w:rPr>
      </w:pPr>
      <w:r w:rsidRPr="00C50275">
        <w:rPr>
          <w:rFonts w:ascii="Times New Roman" w:hAnsi="Times New Roman" w:cs="Times New Roman"/>
        </w:rPr>
        <w:t>Midpoint of range [85% - 95%] = 90% (high bound)</w:t>
      </w:r>
    </w:p>
    <w:p w14:paraId="52FC20F6" w14:textId="77777777" w:rsidR="00F60CCA" w:rsidRPr="00C50275" w:rsidRDefault="00F60CCA" w:rsidP="00C50275">
      <w:pPr>
        <w:pStyle w:val="ListParagraph"/>
        <w:numPr>
          <w:ilvl w:val="1"/>
          <w:numId w:val="28"/>
        </w:numPr>
        <w:spacing w:after="120" w:line="240" w:lineRule="auto"/>
        <w:contextualSpacing w:val="0"/>
        <w:rPr>
          <w:rFonts w:ascii="Times New Roman" w:hAnsi="Times New Roman" w:cs="Times New Roman"/>
        </w:rPr>
      </w:pPr>
      <w:r w:rsidRPr="00C50275">
        <w:rPr>
          <w:rFonts w:ascii="Times New Roman" w:hAnsi="Times New Roman" w:cs="Times New Roman"/>
        </w:rPr>
        <w:t>Midpoint of range [75% – 85%] = 80% (low bound)</w:t>
      </w:r>
    </w:p>
    <w:p w14:paraId="2D895256" w14:textId="75690B06" w:rsidR="00F60CCA" w:rsidRPr="00C50275" w:rsidRDefault="00F60CCA" w:rsidP="00C50275">
      <w:pPr>
        <w:pStyle w:val="ListParagraph"/>
        <w:numPr>
          <w:ilvl w:val="1"/>
          <w:numId w:val="28"/>
        </w:numPr>
        <w:spacing w:after="120" w:line="240" w:lineRule="auto"/>
        <w:contextualSpacing w:val="0"/>
        <w:rPr>
          <w:rFonts w:ascii="Times New Roman" w:hAnsi="Times New Roman" w:cs="Times New Roman"/>
        </w:rPr>
      </w:pPr>
      <w:r w:rsidRPr="00C50275">
        <w:rPr>
          <w:rFonts w:ascii="Times New Roman" w:hAnsi="Times New Roman" w:cs="Times New Roman"/>
        </w:rPr>
        <w:t xml:space="preserve">The weight given to the factors in the [85%- 95%] range is (4/10) which </w:t>
      </w:r>
      <w:r w:rsidR="00AB34A0">
        <w:rPr>
          <w:rFonts w:ascii="Times New Roman" w:hAnsi="Times New Roman" w:cs="Times New Roman"/>
        </w:rPr>
        <w:t>wa</w:t>
      </w:r>
      <w:r w:rsidRPr="00C50275">
        <w:rPr>
          <w:rFonts w:ascii="Times New Roman" w:hAnsi="Times New Roman" w:cs="Times New Roman"/>
        </w:rPr>
        <w:t>s calculated as (84%-80%)/(90%-80%) = [(actual overall coinsurance) – (low bound)] / [(high bound) – (low bound)]</w:t>
      </w:r>
    </w:p>
    <w:p w14:paraId="08288656" w14:textId="5249015D" w:rsidR="00F60CCA" w:rsidRPr="00C50275" w:rsidRDefault="00F60CCA" w:rsidP="00C50275">
      <w:pPr>
        <w:pStyle w:val="ListParagraph"/>
        <w:numPr>
          <w:ilvl w:val="1"/>
          <w:numId w:val="28"/>
        </w:numPr>
        <w:spacing w:after="120" w:line="240" w:lineRule="auto"/>
        <w:contextualSpacing w:val="0"/>
        <w:rPr>
          <w:rFonts w:ascii="Times New Roman" w:hAnsi="Times New Roman" w:cs="Times New Roman"/>
        </w:rPr>
      </w:pPr>
      <w:r w:rsidRPr="00C50275">
        <w:rPr>
          <w:rFonts w:ascii="Times New Roman" w:hAnsi="Times New Roman" w:cs="Times New Roman"/>
        </w:rPr>
        <w:t xml:space="preserve">The weight given to the factors in the [75% - 85%] range is (6/10) which </w:t>
      </w:r>
      <w:r w:rsidR="00AB34A0">
        <w:rPr>
          <w:rFonts w:ascii="Times New Roman" w:hAnsi="Times New Roman" w:cs="Times New Roman"/>
        </w:rPr>
        <w:t>wa</w:t>
      </w:r>
      <w:r w:rsidRPr="00C50275">
        <w:rPr>
          <w:rFonts w:ascii="Times New Roman" w:hAnsi="Times New Roman" w:cs="Times New Roman"/>
        </w:rPr>
        <w:t xml:space="preserve">s calculated as 1 – (4/10) </w:t>
      </w:r>
    </w:p>
    <w:p w14:paraId="15B64399" w14:textId="001363F2" w:rsidR="00F60CCA" w:rsidRPr="00C50275" w:rsidRDefault="00F60CCA" w:rsidP="00C50275">
      <w:pPr>
        <w:pStyle w:val="ListParagraph"/>
        <w:numPr>
          <w:ilvl w:val="0"/>
          <w:numId w:val="28"/>
        </w:numPr>
        <w:spacing w:after="120" w:line="240" w:lineRule="auto"/>
        <w:contextualSpacing w:val="0"/>
        <w:rPr>
          <w:rFonts w:ascii="Times New Roman" w:hAnsi="Times New Roman" w:cs="Times New Roman"/>
        </w:rPr>
      </w:pPr>
      <w:r w:rsidRPr="00C50275">
        <w:rPr>
          <w:rFonts w:ascii="Times New Roman" w:hAnsi="Times New Roman" w:cs="Times New Roman"/>
        </w:rPr>
        <w:t xml:space="preserve">The plan benefit factor </w:t>
      </w:r>
      <w:r w:rsidR="00AB34A0">
        <w:rPr>
          <w:rFonts w:ascii="Times New Roman" w:hAnsi="Times New Roman" w:cs="Times New Roman"/>
        </w:rPr>
        <w:t>was</w:t>
      </w:r>
      <w:r w:rsidRPr="00C50275">
        <w:rPr>
          <w:rFonts w:ascii="Times New Roman" w:hAnsi="Times New Roman" w:cs="Times New Roman"/>
        </w:rPr>
        <w:t xml:space="preserve"> ((4/10) x (1.043)) + ((6/10) x (0.992)) = 1.012</w:t>
      </w:r>
    </w:p>
    <w:p w14:paraId="0C4BFA75" w14:textId="65F5262B" w:rsidR="00F60CCA" w:rsidRPr="00C50275" w:rsidRDefault="00F60CCA" w:rsidP="00C50275">
      <w:pPr>
        <w:pStyle w:val="ListParagraph"/>
        <w:numPr>
          <w:ilvl w:val="0"/>
          <w:numId w:val="28"/>
        </w:numPr>
        <w:spacing w:after="120" w:line="240" w:lineRule="auto"/>
        <w:contextualSpacing w:val="0"/>
        <w:rPr>
          <w:rFonts w:ascii="Times New Roman" w:hAnsi="Times New Roman" w:cs="Times New Roman"/>
        </w:rPr>
      </w:pPr>
      <w:r w:rsidRPr="00C50275">
        <w:rPr>
          <w:rFonts w:ascii="Times New Roman" w:hAnsi="Times New Roman" w:cs="Times New Roman"/>
        </w:rPr>
        <w:t xml:space="preserve">Please note </w:t>
      </w:r>
      <w:r w:rsidR="00AB34A0">
        <w:rPr>
          <w:rFonts w:ascii="Times New Roman" w:hAnsi="Times New Roman" w:cs="Times New Roman"/>
        </w:rPr>
        <w:t>Milliman</w:t>
      </w:r>
      <w:r w:rsidRPr="00C50275">
        <w:rPr>
          <w:rFonts w:ascii="Times New Roman" w:hAnsi="Times New Roman" w:cs="Times New Roman"/>
        </w:rPr>
        <w:t xml:space="preserve"> </w:t>
      </w:r>
      <w:r w:rsidR="00AB34A0">
        <w:rPr>
          <w:rFonts w:ascii="Times New Roman" w:hAnsi="Times New Roman" w:cs="Times New Roman"/>
        </w:rPr>
        <w:t>set</w:t>
      </w:r>
      <w:r w:rsidRPr="00C50275">
        <w:rPr>
          <w:rFonts w:ascii="Times New Roman" w:hAnsi="Times New Roman" w:cs="Times New Roman"/>
        </w:rPr>
        <w:t xml:space="preserve"> the lower bound at 50% and upper bound at 100%. However, this generally d</w:t>
      </w:r>
      <w:r w:rsidR="00AB34A0">
        <w:rPr>
          <w:rFonts w:ascii="Times New Roman" w:hAnsi="Times New Roman" w:cs="Times New Roman"/>
        </w:rPr>
        <w:t>id</w:t>
      </w:r>
      <w:r w:rsidRPr="00C50275">
        <w:rPr>
          <w:rFonts w:ascii="Times New Roman" w:hAnsi="Times New Roman" w:cs="Times New Roman"/>
        </w:rPr>
        <w:t xml:space="preserve"> not affect the results since </w:t>
      </w:r>
      <w:r w:rsidR="00AB34A0">
        <w:rPr>
          <w:rFonts w:ascii="Times New Roman" w:hAnsi="Times New Roman" w:cs="Times New Roman"/>
        </w:rPr>
        <w:t>Milliman was</w:t>
      </w:r>
      <w:r w:rsidRPr="00C50275">
        <w:rPr>
          <w:rFonts w:ascii="Times New Roman" w:hAnsi="Times New Roman" w:cs="Times New Roman"/>
        </w:rPr>
        <w:t xml:space="preserve"> looking at the overall coinsurance by MSA.</w:t>
      </w:r>
    </w:p>
    <w:p w14:paraId="59D424FB" w14:textId="140D1F8E" w:rsidR="00F60CCA" w:rsidRPr="00C50275" w:rsidRDefault="00F60CCA" w:rsidP="00C50275">
      <w:pPr>
        <w:pStyle w:val="ListParagraph"/>
        <w:numPr>
          <w:ilvl w:val="0"/>
          <w:numId w:val="28"/>
        </w:numPr>
        <w:spacing w:after="180" w:line="240" w:lineRule="auto"/>
        <w:contextualSpacing w:val="0"/>
        <w:rPr>
          <w:rFonts w:ascii="Times New Roman" w:hAnsi="Times New Roman" w:cs="Times New Roman"/>
        </w:rPr>
      </w:pPr>
      <w:r w:rsidRPr="00C50275">
        <w:rPr>
          <w:rFonts w:ascii="Times New Roman" w:hAnsi="Times New Roman" w:cs="Times New Roman"/>
        </w:rPr>
        <w:lastRenderedPageBreak/>
        <w:t>The plan benefit</w:t>
      </w:r>
      <w:r w:rsidR="003A2F4F">
        <w:rPr>
          <w:rFonts w:ascii="Times New Roman" w:hAnsi="Times New Roman" w:cs="Times New Roman"/>
        </w:rPr>
        <w:t>-</w:t>
      </w:r>
      <w:r w:rsidRPr="00C50275">
        <w:rPr>
          <w:rFonts w:ascii="Times New Roman" w:hAnsi="Times New Roman" w:cs="Times New Roman"/>
        </w:rPr>
        <w:t xml:space="preserve">adjusted IP RVU is calculated as (risk adjusted IP RVU PMPM) x (interpolated plan benefit factor) = 0.70 x 1.012 = 0.71 </w:t>
      </w:r>
    </w:p>
    <w:p w14:paraId="7F5BD261" w14:textId="2C7464EF" w:rsidR="00F60CCA" w:rsidRPr="00C50275" w:rsidRDefault="00AB34A0" w:rsidP="00C50275">
      <w:pPr>
        <w:spacing w:after="120"/>
        <w:rPr>
          <w:szCs w:val="22"/>
        </w:rPr>
      </w:pPr>
      <w:r>
        <w:rPr>
          <w:szCs w:val="22"/>
        </w:rPr>
        <w:t>Milliman</w:t>
      </w:r>
      <w:r w:rsidR="00F60CCA" w:rsidRPr="00C50275">
        <w:rPr>
          <w:szCs w:val="22"/>
        </w:rPr>
        <w:t xml:space="preserve"> calculated the plan benefit factors by area for both the CHSD benchmark results and the M</w:t>
      </w:r>
      <w:r w:rsidR="00671BEF">
        <w:rPr>
          <w:szCs w:val="22"/>
        </w:rPr>
        <w:t xml:space="preserve">D </w:t>
      </w:r>
      <w:r w:rsidR="00F60CCA" w:rsidRPr="00C50275">
        <w:rPr>
          <w:szCs w:val="22"/>
        </w:rPr>
        <w:t xml:space="preserve">APCD. </w:t>
      </w:r>
      <w:r w:rsidR="00C50275">
        <w:rPr>
          <w:b/>
          <w:szCs w:val="22"/>
        </w:rPr>
        <w:t xml:space="preserve">Exhibit </w:t>
      </w:r>
      <w:r w:rsidR="001F3D44">
        <w:rPr>
          <w:b/>
          <w:szCs w:val="22"/>
        </w:rPr>
        <w:t>B</w:t>
      </w:r>
      <w:r w:rsidR="00C50275">
        <w:rPr>
          <w:b/>
          <w:szCs w:val="22"/>
        </w:rPr>
        <w:t>-2</w:t>
      </w:r>
      <w:r w:rsidR="00F60CCA" w:rsidRPr="00C50275">
        <w:rPr>
          <w:szCs w:val="22"/>
        </w:rPr>
        <w:t xml:space="preserve"> below shows the impact of risk and plan benefit</w:t>
      </w:r>
      <w:r w:rsidR="003A2F4F">
        <w:rPr>
          <w:szCs w:val="22"/>
        </w:rPr>
        <w:t>-</w:t>
      </w:r>
      <w:r w:rsidR="00F60CCA" w:rsidRPr="00C50275">
        <w:rPr>
          <w:szCs w:val="22"/>
        </w:rPr>
        <w:t>adjusting the RVU PMPMs on the 2017 CHSD benchmark MSAs:</w:t>
      </w:r>
    </w:p>
    <w:p w14:paraId="00A2C7C2" w14:textId="77777777" w:rsidR="00F60CCA" w:rsidRPr="00C50275" w:rsidRDefault="00F60CCA" w:rsidP="00C50275">
      <w:pPr>
        <w:pStyle w:val="ListParagraph"/>
        <w:numPr>
          <w:ilvl w:val="0"/>
          <w:numId w:val="29"/>
        </w:numPr>
        <w:spacing w:after="120" w:line="240" w:lineRule="auto"/>
        <w:contextualSpacing w:val="0"/>
        <w:rPr>
          <w:rFonts w:ascii="Times New Roman" w:hAnsi="Times New Roman" w:cs="Times New Roman"/>
        </w:rPr>
      </w:pPr>
      <w:r w:rsidRPr="00C50275">
        <w:rPr>
          <w:rFonts w:ascii="Times New Roman" w:hAnsi="Times New Roman" w:cs="Times New Roman"/>
        </w:rPr>
        <w:t>The blue line is the original RVU PMPM,</w:t>
      </w:r>
    </w:p>
    <w:p w14:paraId="7FD5FBF8" w14:textId="77777777" w:rsidR="00F60CCA" w:rsidRPr="00C50275" w:rsidRDefault="00F60CCA" w:rsidP="00C50275">
      <w:pPr>
        <w:pStyle w:val="ListParagraph"/>
        <w:numPr>
          <w:ilvl w:val="0"/>
          <w:numId w:val="29"/>
        </w:numPr>
        <w:spacing w:after="120" w:line="240" w:lineRule="auto"/>
        <w:contextualSpacing w:val="0"/>
        <w:rPr>
          <w:rFonts w:ascii="Times New Roman" w:hAnsi="Times New Roman" w:cs="Times New Roman"/>
        </w:rPr>
      </w:pPr>
      <w:r w:rsidRPr="00C50275">
        <w:rPr>
          <w:rFonts w:ascii="Times New Roman" w:hAnsi="Times New Roman" w:cs="Times New Roman"/>
        </w:rPr>
        <w:t>The green line is the risk adjusted RVU PMPM, which has a flatter slope than the original unadjusted RVU PMPM line, and</w:t>
      </w:r>
    </w:p>
    <w:p w14:paraId="4F305686" w14:textId="10DF7D3B" w:rsidR="00F60CCA" w:rsidRPr="00C50275" w:rsidRDefault="00F60CCA" w:rsidP="00C50275">
      <w:pPr>
        <w:pStyle w:val="ListParagraph"/>
        <w:numPr>
          <w:ilvl w:val="0"/>
          <w:numId w:val="29"/>
        </w:numPr>
        <w:spacing w:after="120" w:line="240" w:lineRule="auto"/>
        <w:contextualSpacing w:val="0"/>
        <w:rPr>
          <w:rFonts w:ascii="Times New Roman" w:hAnsi="Times New Roman" w:cs="Times New Roman"/>
        </w:rPr>
      </w:pPr>
      <w:r w:rsidRPr="00C50275">
        <w:rPr>
          <w:rFonts w:ascii="Times New Roman" w:hAnsi="Times New Roman" w:cs="Times New Roman"/>
        </w:rPr>
        <w:t>The red line is the risk and plan benefit</w:t>
      </w:r>
      <w:r w:rsidR="003A2F4F">
        <w:rPr>
          <w:rFonts w:ascii="Times New Roman" w:hAnsi="Times New Roman" w:cs="Times New Roman"/>
        </w:rPr>
        <w:t>-</w:t>
      </w:r>
      <w:r w:rsidRPr="00C50275">
        <w:rPr>
          <w:rFonts w:ascii="Times New Roman" w:hAnsi="Times New Roman" w:cs="Times New Roman"/>
        </w:rPr>
        <w:t>adjusted RVU PMPM.</w:t>
      </w:r>
    </w:p>
    <w:p w14:paraId="0C743A9C" w14:textId="77777777" w:rsidR="00F60CCA" w:rsidRPr="00C50275" w:rsidRDefault="00F60CCA" w:rsidP="00F60CCA">
      <w:pPr>
        <w:pStyle w:val="ListParagraph"/>
        <w:rPr>
          <w:rFonts w:ascii="Times New Roman" w:hAnsi="Times New Roman" w:cs="Times New Roman"/>
        </w:rPr>
      </w:pPr>
    </w:p>
    <w:p w14:paraId="61F923AC" w14:textId="68D3EB37" w:rsidR="00F60CCA" w:rsidRPr="00AC6B79" w:rsidRDefault="00C50275" w:rsidP="00AC6B79">
      <w:pPr>
        <w:pStyle w:val="Caption"/>
      </w:pPr>
      <w:r w:rsidRPr="00AC6B79">
        <w:t xml:space="preserve">Exhibit </w:t>
      </w:r>
      <w:r w:rsidR="001F3D44" w:rsidRPr="00AC6B79">
        <w:t>B</w:t>
      </w:r>
      <w:r w:rsidRPr="00AC6B79">
        <w:t>-2</w:t>
      </w:r>
      <w:r w:rsidR="00F60CCA" w:rsidRPr="00AC6B79">
        <w:t>: Scatterplot of RVU PMPM, Risk Adjusted RVU PMPM, and Risk &amp; Plan Benefit</w:t>
      </w:r>
      <w:r w:rsidR="003A2F4F">
        <w:t>-</w:t>
      </w:r>
      <w:r w:rsidR="00F60CCA" w:rsidRPr="00AC6B79">
        <w:t xml:space="preserve">Adjusted RVU PMPM </w:t>
      </w:r>
    </w:p>
    <w:p w14:paraId="2DDA75BF" w14:textId="1B51D7D6" w:rsidR="00F60CCA" w:rsidRPr="00C50275" w:rsidRDefault="006C77ED" w:rsidP="005C13A5">
      <w:pPr>
        <w:keepNext/>
        <w:spacing w:after="0"/>
        <w:rPr>
          <w:b/>
          <w:bCs/>
          <w:szCs w:val="22"/>
        </w:rPr>
      </w:pPr>
      <w:r>
        <w:rPr>
          <w:b/>
          <w:bCs/>
          <w:noProof/>
          <w:szCs w:val="22"/>
        </w:rPr>
        <w:drawing>
          <wp:inline distT="0" distB="0" distL="0" distR="0" wp14:anchorId="68EE084D" wp14:editId="58FCE06B">
            <wp:extent cx="4627245" cy="272542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27245" cy="2725420"/>
                    </a:xfrm>
                    <a:prstGeom prst="rect">
                      <a:avLst/>
                    </a:prstGeom>
                    <a:noFill/>
                  </pic:spPr>
                </pic:pic>
              </a:graphicData>
            </a:graphic>
          </wp:inline>
        </w:drawing>
      </w:r>
    </w:p>
    <w:p w14:paraId="30E3E852" w14:textId="5A4487B7" w:rsidR="00F60CCA" w:rsidRPr="005C13A5" w:rsidRDefault="005C13A5" w:rsidP="00F60CCA">
      <w:pPr>
        <w:spacing w:after="0"/>
        <w:rPr>
          <w:rFonts w:ascii="Arial Narrow" w:hAnsi="Arial Narrow"/>
          <w:sz w:val="18"/>
          <w:szCs w:val="18"/>
        </w:rPr>
      </w:pPr>
      <w:r w:rsidRPr="005C13A5">
        <w:rPr>
          <w:rFonts w:ascii="Arial Narrow" w:hAnsi="Arial Narrow"/>
          <w:b/>
          <w:bCs/>
          <w:sz w:val="18"/>
          <w:szCs w:val="18"/>
        </w:rPr>
        <w:t>Note:</w:t>
      </w:r>
      <w:r w:rsidRPr="005C13A5">
        <w:rPr>
          <w:rFonts w:ascii="Arial Narrow" w:hAnsi="Arial Narrow"/>
          <w:sz w:val="18"/>
          <w:szCs w:val="18"/>
        </w:rPr>
        <w:t xml:space="preserve"> </w:t>
      </w:r>
      <w:r>
        <w:rPr>
          <w:rFonts w:ascii="Arial Narrow" w:hAnsi="Arial Narrow"/>
          <w:sz w:val="18"/>
          <w:szCs w:val="18"/>
        </w:rPr>
        <w:t xml:space="preserve">Based on data from </w:t>
      </w:r>
      <w:r w:rsidRPr="005C13A5">
        <w:rPr>
          <w:rFonts w:ascii="Arial Narrow" w:hAnsi="Arial Narrow"/>
          <w:sz w:val="18"/>
          <w:szCs w:val="18"/>
        </w:rPr>
        <w:t xml:space="preserve">“CY </w:t>
      </w:r>
      <w:r w:rsidR="006C77ED" w:rsidRPr="005C13A5">
        <w:rPr>
          <w:rFonts w:ascii="Arial Narrow" w:hAnsi="Arial Narrow"/>
          <w:sz w:val="18"/>
          <w:szCs w:val="18"/>
        </w:rPr>
        <w:t>201</w:t>
      </w:r>
      <w:r w:rsidR="006C77ED">
        <w:rPr>
          <w:rFonts w:ascii="Arial Narrow" w:hAnsi="Arial Narrow"/>
          <w:sz w:val="18"/>
          <w:szCs w:val="18"/>
        </w:rPr>
        <w:t>8</w:t>
      </w:r>
      <w:r w:rsidR="006C77ED" w:rsidRPr="005C13A5">
        <w:rPr>
          <w:rFonts w:ascii="Arial Narrow" w:hAnsi="Arial Narrow"/>
          <w:sz w:val="18"/>
          <w:szCs w:val="18"/>
        </w:rPr>
        <w:t xml:space="preserve"> </w:t>
      </w:r>
      <w:r w:rsidRPr="005C13A5">
        <w:rPr>
          <w:rFonts w:ascii="Arial Narrow" w:hAnsi="Arial Narrow"/>
          <w:sz w:val="18"/>
          <w:szCs w:val="18"/>
        </w:rPr>
        <w:t>Milliman Benchmark and Maryland All-Payer Claims Database Cost and Utilization Exhibits Report,” Exhibit 2.</w:t>
      </w:r>
    </w:p>
    <w:p w14:paraId="5BE6EF6D" w14:textId="77777777" w:rsidR="005C13A5" w:rsidRPr="00C50275" w:rsidRDefault="005C13A5" w:rsidP="00F60CCA">
      <w:pPr>
        <w:spacing w:after="0"/>
        <w:rPr>
          <w:szCs w:val="22"/>
        </w:rPr>
      </w:pPr>
    </w:p>
    <w:p w14:paraId="35A70BBE" w14:textId="7ABD33A7" w:rsidR="00F60CCA" w:rsidRDefault="00AD2316" w:rsidP="009930EC">
      <w:pPr>
        <w:rPr>
          <w:rFonts w:asciiTheme="majorHAnsi" w:hAnsiTheme="majorHAnsi" w:cstheme="majorHAnsi"/>
          <w:sz w:val="20"/>
        </w:rPr>
      </w:pPr>
      <w:r w:rsidRPr="00AD2316">
        <w:rPr>
          <w:szCs w:val="22"/>
        </w:rPr>
        <w:t>This figure shows that after normalizing for risk score, the RVUs PMPM move</w:t>
      </w:r>
      <w:r w:rsidR="00AB114A">
        <w:rPr>
          <w:szCs w:val="22"/>
        </w:rPr>
        <w:t>d</w:t>
      </w:r>
      <w:r w:rsidRPr="00AD2316">
        <w:rPr>
          <w:szCs w:val="22"/>
        </w:rPr>
        <w:t xml:space="preserve"> towards the average RVUs PMPM across all areas with limited exceptions – resulting in a more horizontal linear fit line.</w:t>
      </w:r>
      <w:r>
        <w:rPr>
          <w:szCs w:val="22"/>
        </w:rPr>
        <w:t xml:space="preserve"> </w:t>
      </w:r>
      <w:r w:rsidR="00F60CCA" w:rsidRPr="00C50275">
        <w:rPr>
          <w:szCs w:val="22"/>
        </w:rPr>
        <w:t xml:space="preserve">The results </w:t>
      </w:r>
      <w:r w:rsidR="00AB114A">
        <w:rPr>
          <w:szCs w:val="22"/>
        </w:rPr>
        <w:t>were</w:t>
      </w:r>
      <w:r w:rsidR="00F60CCA" w:rsidRPr="00C50275">
        <w:rPr>
          <w:szCs w:val="22"/>
        </w:rPr>
        <w:t xml:space="preserve"> similar for allowed PMPM, but with the benefit normalization having a more significant effect.</w:t>
      </w:r>
    </w:p>
    <w:sectPr w:rsidR="00F60CCA" w:rsidSect="000D4DE4">
      <w:headerReference w:type="default" r:id="rId17"/>
      <w:pgSz w:w="12240" w:h="15840" w:code="1"/>
      <w:pgMar w:top="1440" w:right="1440" w:bottom="1440" w:left="1440" w:header="432"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9806A0" w14:textId="77777777" w:rsidR="00854BE1" w:rsidRDefault="00854BE1" w:rsidP="00DC17F5">
      <w:r>
        <w:separator/>
      </w:r>
    </w:p>
  </w:endnote>
  <w:endnote w:type="continuationSeparator" w:id="0">
    <w:p w14:paraId="4A89A893" w14:textId="77777777" w:rsidR="00854BE1" w:rsidRDefault="00854BE1" w:rsidP="00DC1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604020202020204"/>
    <w:charset w:val="00"/>
    <w:family w:val="roman"/>
    <w:notTrueType/>
    <w:pitch w:val="default"/>
    <w:sig w:usb0="00000003" w:usb1="00000000" w:usb2="00000000" w:usb3="00000000" w:csb0="00000001" w:csb1="00000000"/>
  </w:font>
  <w:font w:name="Gotham">
    <w:altName w:val="Calibri"/>
    <w:panose1 w:val="020B06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5B107" w14:textId="12174F73" w:rsidR="00756D0D" w:rsidRPr="00B3778A" w:rsidRDefault="00756D0D" w:rsidP="005900C0">
    <w:pPr>
      <w:pStyle w:val="Footer"/>
      <w:rPr>
        <w:sz w:val="20"/>
      </w:rPr>
    </w:pPr>
    <w:r w:rsidRPr="00B3778A">
      <w:rPr>
        <w:sz w:val="20"/>
      </w:rPr>
      <w:t>Abt Associates</w:t>
    </w:r>
    <w:r w:rsidRPr="00B3778A">
      <w:rPr>
        <w:sz w:val="20"/>
      </w:rPr>
      <w:tab/>
    </w:r>
    <w:r w:rsidRPr="005900C0">
      <w:rPr>
        <w:sz w:val="20"/>
      </w:rPr>
      <w:t>HSCRC-TO-2018-2-0601</w:t>
    </w:r>
    <w:r w:rsidRPr="00B3778A">
      <w:rPr>
        <w:color w:val="595959"/>
        <w:sz w:val="20"/>
      </w:rPr>
      <w:tab/>
    </w:r>
    <w:r>
      <w:rPr>
        <w:color w:val="595959"/>
        <w:sz w:val="20"/>
      </w:rPr>
      <w:t xml:space="preserve">August </w:t>
    </w:r>
    <w:r w:rsidR="00A77BD3">
      <w:rPr>
        <w:color w:val="595959"/>
        <w:sz w:val="20"/>
      </w:rPr>
      <w:t>7</w:t>
    </w:r>
    <w:r>
      <w:rPr>
        <w:color w:val="595959"/>
        <w:sz w:val="20"/>
      </w:rPr>
      <w:t>, 2020</w:t>
    </w:r>
    <w:r w:rsidRPr="00B3778A">
      <w:rPr>
        <w:rFonts w:ascii="Arial" w:hAnsi="Arial"/>
        <w:color w:val="595959"/>
        <w:sz w:val="20"/>
      </w:rPr>
      <w:t> </w:t>
    </w:r>
    <w:r w:rsidRPr="00B3778A">
      <w:rPr>
        <w:rFonts w:ascii="Arial" w:hAnsi="Arial" w:cs="Arial"/>
        <w:color w:val="595959"/>
        <w:sz w:val="20"/>
      </w:rPr>
      <w:t>▌</w:t>
    </w:r>
    <w:r w:rsidRPr="00B3778A">
      <w:rPr>
        <w:rFonts w:ascii="Arial" w:hAnsi="Arial"/>
        <w:sz w:val="20"/>
      </w:rPr>
      <w:fldChar w:fldCharType="begin"/>
    </w:r>
    <w:r w:rsidRPr="00B3778A">
      <w:rPr>
        <w:rFonts w:ascii="Arial" w:hAnsi="Arial"/>
        <w:sz w:val="20"/>
      </w:rPr>
      <w:instrText xml:space="preserve"> PAGE   \* MERGEFORMAT </w:instrText>
    </w:r>
    <w:r w:rsidRPr="00B3778A">
      <w:rPr>
        <w:rFonts w:ascii="Arial" w:hAnsi="Arial"/>
        <w:sz w:val="20"/>
      </w:rPr>
      <w:fldChar w:fldCharType="separate"/>
    </w:r>
    <w:r>
      <w:rPr>
        <w:rFonts w:ascii="Arial" w:hAnsi="Arial"/>
        <w:noProof/>
        <w:sz w:val="20"/>
      </w:rPr>
      <w:t>19</w:t>
    </w:r>
    <w:r w:rsidRPr="00B3778A">
      <w:rPr>
        <w:rFonts w:ascii="Arial" w:hAnsi="Arial"/>
        <w:noProof/>
        <w:sz w:val="20"/>
      </w:rPr>
      <w:fldChar w:fldCharType="end"/>
    </w:r>
  </w:p>
  <w:p w14:paraId="06553C61" w14:textId="2CB2AD96" w:rsidR="00756D0D" w:rsidRPr="003453BD" w:rsidRDefault="00756D0D" w:rsidP="005900C0">
    <w:pPr>
      <w:pStyle w:val="Disclaim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8FD4CA" w14:textId="77777777" w:rsidR="00854BE1" w:rsidRDefault="00854BE1" w:rsidP="003478EA">
      <w:pPr>
        <w:spacing w:after="120"/>
      </w:pPr>
      <w:r>
        <w:separator/>
      </w:r>
    </w:p>
  </w:footnote>
  <w:footnote w:type="continuationSeparator" w:id="0">
    <w:p w14:paraId="26F63171" w14:textId="77777777" w:rsidR="00854BE1" w:rsidRDefault="00854BE1" w:rsidP="00DC17F5">
      <w:r>
        <w:continuationSeparator/>
      </w:r>
    </w:p>
  </w:footnote>
  <w:footnote w:id="1">
    <w:p w14:paraId="0B7FB55D" w14:textId="234FABB2" w:rsidR="00756D0D" w:rsidRDefault="00756D0D">
      <w:pPr>
        <w:pStyle w:val="FootnoteText"/>
      </w:pPr>
      <w:r>
        <w:rPr>
          <w:rStyle w:val="FootnoteReference"/>
        </w:rPr>
        <w:footnoteRef/>
      </w:r>
      <w:r>
        <w:t xml:space="preserve"> </w:t>
      </w:r>
      <w:r>
        <w:tab/>
        <w:t>A</w:t>
      </w:r>
      <w:r w:rsidRPr="00D20E2C">
        <w:t xml:space="preserve">vailable at </w:t>
      </w:r>
      <w:hyperlink r:id="rId1" w:tooltip="https://www.milliman.com/2018-Benchmark-APCD-Methodology" w:history="1">
        <w:r w:rsidRPr="009E3DA1">
          <w:rPr>
            <w:rStyle w:val="Hyperlink"/>
            <w:color w:val="954F72"/>
          </w:rPr>
          <w:t>https://www.milliman.com/2018-Benchmark-APCD-Methodology</w:t>
        </w:r>
      </w:hyperlink>
    </w:p>
  </w:footnote>
  <w:footnote w:id="2">
    <w:p w14:paraId="533C0453" w14:textId="744C0D21" w:rsidR="00756D0D" w:rsidRDefault="00756D0D">
      <w:pPr>
        <w:pStyle w:val="FootnoteText"/>
      </w:pPr>
      <w:r>
        <w:rPr>
          <w:rStyle w:val="FootnoteReference"/>
        </w:rPr>
        <w:footnoteRef/>
      </w:r>
      <w:r>
        <w:t xml:space="preserve"> </w:t>
      </w:r>
      <w:r>
        <w:tab/>
        <w:t>The MD risk score was calculated using the APCD identifier field named “Master Patient Index (MPI)” to ensure that unique members could be identified consistently throughout CY2018. For the purpose of matching claims data to enrollment, “concatenated payer-encrypted enrollee identification number, birth date, and gender</w:t>
      </w:r>
      <w:r w:rsidRPr="00D63B65">
        <w:t xml:space="preserve"> (</w:t>
      </w:r>
      <w:r>
        <w:t>PIDBDGP)” was used.</w:t>
      </w:r>
      <w:r w:rsidRPr="00BC520C">
        <w:t xml:space="preserve"> </w:t>
      </w:r>
      <w:r>
        <w:t>Please refer to the “Other Inconsistencies in Member ID” notes in Appendix A for more information.</w:t>
      </w:r>
    </w:p>
  </w:footnote>
  <w:footnote w:id="3">
    <w:p w14:paraId="18A5D762" w14:textId="103903A8" w:rsidR="00756D0D" w:rsidRDefault="00756D0D" w:rsidP="009930EC">
      <w:pPr>
        <w:pStyle w:val="FootnoteText"/>
      </w:pPr>
      <w:r>
        <w:rPr>
          <w:rStyle w:val="FootnoteReference"/>
        </w:rPr>
        <w:footnoteRef/>
      </w:r>
      <w:r>
        <w:t xml:space="preserve"> </w:t>
      </w:r>
      <w:r>
        <w:tab/>
      </w:r>
      <w:r w:rsidRPr="009930EC">
        <w:t xml:space="preserve">The HHS platinum risk scores predict aggregate costs for all services, not costs by service category. However, </w:t>
      </w:r>
      <w:r>
        <w:t xml:space="preserve">we have applied the </w:t>
      </w:r>
      <w:r w:rsidRPr="009930EC">
        <w:t>risk scores to normalize costs for each major service category (inpatient, outpatient, and professional/other)</w:t>
      </w:r>
      <w:r>
        <w:t xml:space="preserve"> in some analyses</w:t>
      </w:r>
      <w:r w:rsidRPr="009930EC">
        <w:t>. Caution should be used when interpreting these results since costs by service category may not vary linearly with risk score.</w:t>
      </w:r>
    </w:p>
  </w:footnote>
  <w:footnote w:id="4">
    <w:p w14:paraId="6BF726FE" w14:textId="43C6F152" w:rsidR="00756D0D" w:rsidRDefault="00756D0D">
      <w:pPr>
        <w:pStyle w:val="FootnoteText"/>
      </w:pPr>
      <w:r>
        <w:rPr>
          <w:rStyle w:val="FootnoteReference"/>
        </w:rPr>
        <w:footnoteRef/>
      </w:r>
      <w:r>
        <w:t xml:space="preserve"> </w:t>
      </w:r>
      <w:r>
        <w:tab/>
        <w:t>Refer to the “</w:t>
      </w:r>
      <w:r w:rsidRPr="001F3D44">
        <w:t>CY 201</w:t>
      </w:r>
      <w:r>
        <w:t>8</w:t>
      </w:r>
      <w:r w:rsidRPr="001F3D44">
        <w:t xml:space="preserve"> Milliman Benchmark</w:t>
      </w:r>
      <w:r>
        <w:t xml:space="preserve"> </w:t>
      </w:r>
      <w:r w:rsidRPr="001F3D44">
        <w:t>and Maryland All-Payer Claims</w:t>
      </w:r>
      <w:r>
        <w:t xml:space="preserve"> </w:t>
      </w:r>
      <w:r w:rsidRPr="001F3D44">
        <w:t>Database Cost and Utilization</w:t>
      </w:r>
      <w:r>
        <w:t xml:space="preserve"> </w:t>
      </w:r>
      <w:r w:rsidRPr="001F3D44">
        <w:t>Exhibits</w:t>
      </w:r>
      <w:r>
        <w:t xml:space="preserve"> Report” for further description of the 2018 Benchmark Database at </w:t>
      </w:r>
      <w:hyperlink r:id="rId2" w:tooltip="https://www.milliman.com/2018-Benchmark-APCD-Methodology" w:history="1">
        <w:r w:rsidRPr="009E3DA1">
          <w:rPr>
            <w:rStyle w:val="Hyperlink"/>
            <w:color w:val="954F72"/>
          </w:rPr>
          <w:t>https://www.milliman.com/2018-Benchmark-APCD-Methodology</w:t>
        </w:r>
      </w:hyperlink>
      <w:r w:rsidRPr="009E3DA1">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89B72" w14:textId="0FAD523C" w:rsidR="00756D0D" w:rsidRPr="00372DF9" w:rsidRDefault="00756D0D" w:rsidP="00135AF7">
    <w:pPr>
      <w:pStyle w:val="Header"/>
    </w:pPr>
    <w:r>
      <w:t>Commercial Benchmarking Documentation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00A5A16"/>
    <w:lvl w:ilvl="0">
      <w:start w:val="1"/>
      <w:numFmt w:val="bullet"/>
      <w:pStyle w:val="ListBullet3"/>
      <w:lvlText w:val="•"/>
      <w:lvlJc w:val="left"/>
      <w:pPr>
        <w:tabs>
          <w:tab w:val="num" w:pos="1656"/>
        </w:tabs>
        <w:ind w:left="1656" w:hanging="360"/>
      </w:pPr>
      <w:rPr>
        <w:rFonts w:ascii="Arial" w:hAnsi="Arial" w:hint="default"/>
        <w:b w:val="0"/>
        <w:i w:val="0"/>
        <w:sz w:val="18"/>
        <w:szCs w:val="18"/>
      </w:rPr>
    </w:lvl>
  </w:abstractNum>
  <w:abstractNum w:abstractNumId="1" w15:restartNumberingAfterBreak="0">
    <w:nsid w:val="018909AC"/>
    <w:multiLevelType w:val="hybridMultilevel"/>
    <w:tmpl w:val="7186A13E"/>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7E5108B"/>
    <w:multiLevelType w:val="hybridMultilevel"/>
    <w:tmpl w:val="58D68ABA"/>
    <w:lvl w:ilvl="0" w:tplc="2B52731A">
      <w:start w:val="1"/>
      <w:numFmt w:val="lowerRoman"/>
      <w:lvlText w:val="%1."/>
      <w:lvlJc w:val="left"/>
      <w:pPr>
        <w:ind w:left="1080" w:hanging="720"/>
      </w:pPr>
      <w:rPr>
        <w:rFonts w:hint="default"/>
      </w:rPr>
    </w:lvl>
    <w:lvl w:ilvl="1" w:tplc="9B34865C">
      <w:start w:val="1"/>
      <w:numFmt w:val="bullet"/>
      <w:lvlText w:val=""/>
      <w:lvlJc w:val="left"/>
      <w:pPr>
        <w:ind w:left="1440" w:hanging="360"/>
      </w:pPr>
      <w:rPr>
        <w:rFonts w:ascii="Symbol" w:hAnsi="Symbol" w:hint="default"/>
        <w:color w:val="FF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856EC"/>
    <w:multiLevelType w:val="hybridMultilevel"/>
    <w:tmpl w:val="F6687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00CE7"/>
    <w:multiLevelType w:val="hybridMultilevel"/>
    <w:tmpl w:val="9D3ED2CE"/>
    <w:lvl w:ilvl="0" w:tplc="870C59AA">
      <w:start w:val="1"/>
      <w:numFmt w:val="decimal"/>
      <w:lvlText w:val="%1."/>
      <w:lvlJc w:val="left"/>
      <w:pPr>
        <w:ind w:left="720" w:hanging="360"/>
      </w:pPr>
      <w:rPr>
        <w:b w:val="0"/>
      </w:rPr>
    </w:lvl>
    <w:lvl w:ilvl="1" w:tplc="CAE2D8E2">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E6225"/>
    <w:multiLevelType w:val="hybridMultilevel"/>
    <w:tmpl w:val="B5CE3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B4230"/>
    <w:multiLevelType w:val="multilevel"/>
    <w:tmpl w:val="B492EE4E"/>
    <w:lvl w:ilvl="0">
      <w:start w:val="1"/>
      <w:numFmt w:val="bullet"/>
      <w:pStyle w:val="TableBullets"/>
      <w:lvlText w:val=""/>
      <w:lvlJc w:val="left"/>
      <w:pPr>
        <w:ind w:left="720" w:hanging="720"/>
      </w:pPr>
      <w:rPr>
        <w:rFonts w:ascii="Symbol" w:hAnsi="Symbol" w:hint="default"/>
        <w:color w:val="DA291C"/>
      </w:rPr>
    </w:lvl>
    <w:lvl w:ilvl="1">
      <w:start w:val="1"/>
      <w:numFmt w:val="none"/>
      <w:lvlText w:val="ú"/>
      <w:legacy w:legacy="1" w:legacySpace="0" w:legacyIndent="720"/>
      <w:lvlJc w:val="left"/>
      <w:pPr>
        <w:ind w:left="1440" w:hanging="720"/>
      </w:pPr>
      <w:rPr>
        <w:rFonts w:ascii="Wingdings" w:hAnsi="Wingdings" w:hint="default"/>
      </w:rPr>
    </w:lvl>
    <w:lvl w:ilvl="2">
      <w:start w:val="1"/>
      <w:numFmt w:val="none"/>
      <w:lvlText w:val="—"/>
      <w:legacy w:legacy="1" w:legacySpace="0" w:legacyIndent="720"/>
      <w:lvlJc w:val="left"/>
      <w:pPr>
        <w:ind w:left="2160" w:hanging="720"/>
      </w:pPr>
      <w:rPr>
        <w:rFonts w:ascii="Times New Roman" w:hAnsi="Times New Roman" w:cs="Times New Roman" w:hint="default"/>
      </w:r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7" w15:restartNumberingAfterBreak="0">
    <w:nsid w:val="136E27B8"/>
    <w:multiLevelType w:val="hybridMultilevel"/>
    <w:tmpl w:val="56EABCD2"/>
    <w:lvl w:ilvl="0" w:tplc="3D3EBF6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13B536BB"/>
    <w:multiLevelType w:val="hybridMultilevel"/>
    <w:tmpl w:val="224ABDC4"/>
    <w:lvl w:ilvl="0" w:tplc="90A6AA26">
      <w:start w:val="1"/>
      <w:numFmt w:val="bullet"/>
      <w:pStyle w:val="Call-OutBoxBullet"/>
      <w:lvlText w:val=""/>
      <w:lvlJc w:val="left"/>
      <w:pPr>
        <w:ind w:left="720" w:hanging="360"/>
      </w:pPr>
      <w:rPr>
        <w:rFonts w:ascii="Symbol" w:hAnsi="Symbol" w:hint="default"/>
        <w:color w:val="E61D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07083"/>
    <w:multiLevelType w:val="hybridMultilevel"/>
    <w:tmpl w:val="BEA67456"/>
    <w:lvl w:ilvl="0" w:tplc="263C5754">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1A590A"/>
    <w:multiLevelType w:val="hybridMultilevel"/>
    <w:tmpl w:val="B9E63674"/>
    <w:lvl w:ilvl="0" w:tplc="22A8EC7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9B4693"/>
    <w:multiLevelType w:val="hybridMultilevel"/>
    <w:tmpl w:val="66AC677A"/>
    <w:lvl w:ilvl="0" w:tplc="04090019">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F152BF9"/>
    <w:multiLevelType w:val="hybridMultilevel"/>
    <w:tmpl w:val="A28A355E"/>
    <w:lvl w:ilvl="0" w:tplc="A48865EC">
      <w:start w:val="1"/>
      <w:numFmt w:val="bullet"/>
      <w:pStyle w:val="ExhibitBullet"/>
      <w:lvlText w:val=""/>
      <w:lvlJc w:val="left"/>
      <w:pPr>
        <w:ind w:left="1247" w:hanging="360"/>
      </w:pPr>
      <w:rPr>
        <w:rFonts w:ascii="Symbol" w:hAnsi="Symbol" w:hint="default"/>
        <w:color w:val="DA291C" w:themeColor="accent1"/>
        <w:sz w:val="20"/>
      </w:rPr>
    </w:lvl>
    <w:lvl w:ilvl="1" w:tplc="04090003" w:tentative="1">
      <w:start w:val="1"/>
      <w:numFmt w:val="bullet"/>
      <w:lvlText w:val="o"/>
      <w:lvlJc w:val="left"/>
      <w:pPr>
        <w:ind w:left="1967" w:hanging="360"/>
      </w:pPr>
      <w:rPr>
        <w:rFonts w:ascii="Courier New" w:hAnsi="Courier New" w:cs="Courier New" w:hint="default"/>
      </w:rPr>
    </w:lvl>
    <w:lvl w:ilvl="2" w:tplc="04090005" w:tentative="1">
      <w:start w:val="1"/>
      <w:numFmt w:val="bullet"/>
      <w:lvlText w:val=""/>
      <w:lvlJc w:val="left"/>
      <w:pPr>
        <w:ind w:left="2687" w:hanging="360"/>
      </w:pPr>
      <w:rPr>
        <w:rFonts w:ascii="Wingdings" w:hAnsi="Wingdings" w:hint="default"/>
      </w:rPr>
    </w:lvl>
    <w:lvl w:ilvl="3" w:tplc="04090001" w:tentative="1">
      <w:start w:val="1"/>
      <w:numFmt w:val="bullet"/>
      <w:lvlText w:val=""/>
      <w:lvlJc w:val="left"/>
      <w:pPr>
        <w:ind w:left="3407" w:hanging="360"/>
      </w:pPr>
      <w:rPr>
        <w:rFonts w:ascii="Symbol" w:hAnsi="Symbol" w:hint="default"/>
      </w:rPr>
    </w:lvl>
    <w:lvl w:ilvl="4" w:tplc="04090003" w:tentative="1">
      <w:start w:val="1"/>
      <w:numFmt w:val="bullet"/>
      <w:lvlText w:val="o"/>
      <w:lvlJc w:val="left"/>
      <w:pPr>
        <w:ind w:left="4127" w:hanging="360"/>
      </w:pPr>
      <w:rPr>
        <w:rFonts w:ascii="Courier New" w:hAnsi="Courier New" w:cs="Courier New" w:hint="default"/>
      </w:rPr>
    </w:lvl>
    <w:lvl w:ilvl="5" w:tplc="04090005" w:tentative="1">
      <w:start w:val="1"/>
      <w:numFmt w:val="bullet"/>
      <w:lvlText w:val=""/>
      <w:lvlJc w:val="left"/>
      <w:pPr>
        <w:ind w:left="4847" w:hanging="360"/>
      </w:pPr>
      <w:rPr>
        <w:rFonts w:ascii="Wingdings" w:hAnsi="Wingdings" w:hint="default"/>
      </w:rPr>
    </w:lvl>
    <w:lvl w:ilvl="6" w:tplc="04090001" w:tentative="1">
      <w:start w:val="1"/>
      <w:numFmt w:val="bullet"/>
      <w:lvlText w:val=""/>
      <w:lvlJc w:val="left"/>
      <w:pPr>
        <w:ind w:left="5567" w:hanging="360"/>
      </w:pPr>
      <w:rPr>
        <w:rFonts w:ascii="Symbol" w:hAnsi="Symbol" w:hint="default"/>
      </w:rPr>
    </w:lvl>
    <w:lvl w:ilvl="7" w:tplc="04090003" w:tentative="1">
      <w:start w:val="1"/>
      <w:numFmt w:val="bullet"/>
      <w:lvlText w:val="o"/>
      <w:lvlJc w:val="left"/>
      <w:pPr>
        <w:ind w:left="6287" w:hanging="360"/>
      </w:pPr>
      <w:rPr>
        <w:rFonts w:ascii="Courier New" w:hAnsi="Courier New" w:cs="Courier New" w:hint="default"/>
      </w:rPr>
    </w:lvl>
    <w:lvl w:ilvl="8" w:tplc="04090005" w:tentative="1">
      <w:start w:val="1"/>
      <w:numFmt w:val="bullet"/>
      <w:lvlText w:val=""/>
      <w:lvlJc w:val="left"/>
      <w:pPr>
        <w:ind w:left="7007" w:hanging="360"/>
      </w:pPr>
      <w:rPr>
        <w:rFonts w:ascii="Wingdings" w:hAnsi="Wingdings" w:hint="default"/>
      </w:rPr>
    </w:lvl>
  </w:abstractNum>
  <w:abstractNum w:abstractNumId="13" w15:restartNumberingAfterBreak="0">
    <w:nsid w:val="22972E8A"/>
    <w:multiLevelType w:val="hybridMultilevel"/>
    <w:tmpl w:val="9646A5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AC259B"/>
    <w:multiLevelType w:val="singleLevel"/>
    <w:tmpl w:val="01AC6EA0"/>
    <w:lvl w:ilvl="0">
      <w:start w:val="1"/>
      <w:numFmt w:val="decimal"/>
      <w:pStyle w:val="Numbers"/>
      <w:lvlText w:val="%1."/>
      <w:lvlJc w:val="left"/>
      <w:pPr>
        <w:tabs>
          <w:tab w:val="num" w:pos="1080"/>
        </w:tabs>
        <w:ind w:left="1080" w:hanging="360"/>
      </w:pPr>
    </w:lvl>
  </w:abstractNum>
  <w:abstractNum w:abstractNumId="15" w15:restartNumberingAfterBreak="0">
    <w:nsid w:val="27EC4EDD"/>
    <w:multiLevelType w:val="hybridMultilevel"/>
    <w:tmpl w:val="02E21A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37018C"/>
    <w:multiLevelType w:val="hybridMultilevel"/>
    <w:tmpl w:val="2FB6E172"/>
    <w:lvl w:ilvl="0" w:tplc="851AA2F8">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FA54DE"/>
    <w:multiLevelType w:val="hybridMultilevel"/>
    <w:tmpl w:val="9D3ED2CE"/>
    <w:lvl w:ilvl="0" w:tplc="870C59AA">
      <w:start w:val="1"/>
      <w:numFmt w:val="decimal"/>
      <w:lvlText w:val="%1."/>
      <w:lvlJc w:val="left"/>
      <w:pPr>
        <w:ind w:left="720" w:hanging="360"/>
      </w:pPr>
      <w:rPr>
        <w:b w:val="0"/>
      </w:rPr>
    </w:lvl>
    <w:lvl w:ilvl="1" w:tplc="CAE2D8E2">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AD33C4"/>
    <w:multiLevelType w:val="multilevel"/>
    <w:tmpl w:val="38300590"/>
    <w:lvl w:ilvl="0">
      <w:start w:val="1"/>
      <w:numFmt w:val="upperLetter"/>
      <w:pStyle w:val="Heading1"/>
      <w:lvlText w:val="%1."/>
      <w:lvlJc w:val="left"/>
      <w:pPr>
        <w:tabs>
          <w:tab w:val="num" w:pos="432"/>
        </w:tabs>
        <w:ind w:left="720" w:hanging="720"/>
      </w:pPr>
      <w:rPr>
        <w:rFonts w:hint="default"/>
      </w:rPr>
    </w:lvl>
    <w:lvl w:ilvl="1">
      <w:start w:val="1"/>
      <w:numFmt w:val="decimal"/>
      <w:pStyle w:val="Heading2"/>
      <w:lvlText w:val="%1.%2."/>
      <w:lvlJc w:val="left"/>
      <w:pPr>
        <w:tabs>
          <w:tab w:val="num" w:pos="8910"/>
        </w:tabs>
        <w:ind w:left="360" w:hanging="360"/>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0"/>
        </w:tabs>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upperLetter"/>
      <w:pStyle w:val="Heading7"/>
      <w:suff w:val="space"/>
      <w:lvlText w:val="Appendix %7"/>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9" w15:restartNumberingAfterBreak="0">
    <w:nsid w:val="44D60385"/>
    <w:multiLevelType w:val="hybridMultilevel"/>
    <w:tmpl w:val="02E21A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8B2416"/>
    <w:multiLevelType w:val="hybridMultilevel"/>
    <w:tmpl w:val="A2A8A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555DE9"/>
    <w:multiLevelType w:val="hybridMultilevel"/>
    <w:tmpl w:val="A0488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E54959"/>
    <w:multiLevelType w:val="hybridMultilevel"/>
    <w:tmpl w:val="566ABCA0"/>
    <w:lvl w:ilvl="0" w:tplc="06EC0AD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B424C2"/>
    <w:multiLevelType w:val="hybridMultilevel"/>
    <w:tmpl w:val="22DA4B8E"/>
    <w:lvl w:ilvl="0" w:tplc="FDFC43A4">
      <w:start w:val="1"/>
      <w:numFmt w:val="decimal"/>
      <w:lvlText w:val="%1."/>
      <w:lvlJc w:val="left"/>
      <w:pPr>
        <w:ind w:left="720" w:hanging="360"/>
      </w:pPr>
      <w:rPr>
        <w:rFonts w:hint="default"/>
        <w:i w:val="0"/>
      </w:rPr>
    </w:lvl>
    <w:lvl w:ilvl="1" w:tplc="9F58931A">
      <w:start w:val="1"/>
      <w:numFmt w:val="lowerLetter"/>
      <w:lvlText w:val="%2."/>
      <w:lvlJc w:val="left"/>
      <w:pPr>
        <w:ind w:left="1440" w:hanging="360"/>
      </w:pPr>
      <w:rPr>
        <w:i w:val="0"/>
      </w:rPr>
    </w:lvl>
    <w:lvl w:ilvl="2" w:tplc="07DAAF78">
      <w:start w:val="1"/>
      <w:numFmt w:val="lowerRoman"/>
      <w:lvlText w:val="%3."/>
      <w:lvlJc w:val="right"/>
      <w:pPr>
        <w:ind w:left="2160" w:hanging="180"/>
      </w:pPr>
      <w:rPr>
        <w:i w:val="0"/>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A05793"/>
    <w:multiLevelType w:val="hybridMultilevel"/>
    <w:tmpl w:val="EBBAECF8"/>
    <w:lvl w:ilvl="0" w:tplc="22A8EC7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0B6EAA"/>
    <w:multiLevelType w:val="hybridMultilevel"/>
    <w:tmpl w:val="73421E2E"/>
    <w:lvl w:ilvl="0" w:tplc="8C426504">
      <w:start w:val="1"/>
      <w:numFmt w:val="bullet"/>
      <w:pStyle w:val="BioBullet"/>
      <w:lvlText w:val=""/>
      <w:lvlJc w:val="left"/>
      <w:pPr>
        <w:tabs>
          <w:tab w:val="num" w:pos="0"/>
        </w:tabs>
        <w:ind w:left="0" w:firstLine="0"/>
      </w:pPr>
      <w:rPr>
        <w:rFonts w:ascii="Wingdings" w:hAnsi="Wingdings" w:hint="default"/>
        <w:sz w:val="18"/>
        <w:szCs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AA350E"/>
    <w:multiLevelType w:val="hybridMultilevel"/>
    <w:tmpl w:val="3B384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F766AF"/>
    <w:multiLevelType w:val="hybridMultilevel"/>
    <w:tmpl w:val="26C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701A89"/>
    <w:multiLevelType w:val="hybridMultilevel"/>
    <w:tmpl w:val="63D8AA3C"/>
    <w:lvl w:ilvl="0" w:tplc="2B5E383A">
      <w:start w:val="1"/>
      <w:numFmt w:val="bullet"/>
      <w:pStyle w:val="PPBullet"/>
      <w:lvlText w:val="·"/>
      <w:lvlJc w:val="left"/>
      <w:pPr>
        <w:ind w:left="360" w:hanging="360"/>
      </w:pPr>
      <w:rPr>
        <w:rFonts w:ascii="Symbol" w:hAnsi="Symbol" w:hint="default"/>
        <w:color w:val="DA291C"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6F644F"/>
    <w:multiLevelType w:val="singleLevel"/>
    <w:tmpl w:val="4852FEBA"/>
    <w:lvl w:ilvl="0">
      <w:start w:val="1"/>
      <w:numFmt w:val="decimal"/>
      <w:pStyle w:val="RefNumbers"/>
      <w:lvlText w:val="%1."/>
      <w:lvlJc w:val="left"/>
      <w:pPr>
        <w:tabs>
          <w:tab w:val="num" w:pos="720"/>
        </w:tabs>
        <w:ind w:left="720" w:hanging="720"/>
      </w:pPr>
    </w:lvl>
  </w:abstractNum>
  <w:abstractNum w:abstractNumId="30" w15:restartNumberingAfterBreak="0">
    <w:nsid w:val="728D4CB2"/>
    <w:multiLevelType w:val="hybridMultilevel"/>
    <w:tmpl w:val="F27AEA7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4BE6093"/>
    <w:multiLevelType w:val="hybridMultilevel"/>
    <w:tmpl w:val="53C076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B8678A"/>
    <w:multiLevelType w:val="hybridMultilevel"/>
    <w:tmpl w:val="D8FAA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C369AA"/>
    <w:multiLevelType w:val="hybridMultilevel"/>
    <w:tmpl w:val="4684AE22"/>
    <w:lvl w:ilvl="0" w:tplc="FCA25ABA">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646D5C"/>
    <w:multiLevelType w:val="hybridMultilevel"/>
    <w:tmpl w:val="024A2C8A"/>
    <w:lvl w:ilvl="0" w:tplc="394CA034">
      <w:start w:val="1"/>
      <w:numFmt w:val="bullet"/>
      <w:pStyle w:val="BulletFrontPageCallOut"/>
      <w:lvlText w:val=""/>
      <w:lvlJc w:val="left"/>
      <w:pPr>
        <w:ind w:left="540" w:hanging="360"/>
      </w:pPr>
      <w:rPr>
        <w:rFonts w:ascii="Symbol" w:hAnsi="Symbol" w:hint="default"/>
        <w:color w:val="D1282E"/>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D63DA6"/>
    <w:multiLevelType w:val="singleLevel"/>
    <w:tmpl w:val="630E7D00"/>
    <w:lvl w:ilvl="0">
      <w:start w:val="1"/>
      <w:numFmt w:val="bullet"/>
      <w:pStyle w:val="Bullets"/>
      <w:lvlText w:val=""/>
      <w:lvlJc w:val="left"/>
      <w:pPr>
        <w:ind w:left="360" w:hanging="360"/>
      </w:pPr>
      <w:rPr>
        <w:rFonts w:ascii="Symbol" w:hAnsi="Symbol" w:hint="default"/>
        <w:color w:val="DA291C"/>
        <w:sz w:val="22"/>
      </w:rPr>
    </w:lvl>
  </w:abstractNum>
  <w:abstractNum w:abstractNumId="36" w15:restartNumberingAfterBreak="0">
    <w:nsid w:val="7CC72489"/>
    <w:multiLevelType w:val="hybridMultilevel"/>
    <w:tmpl w:val="96C45EB8"/>
    <w:lvl w:ilvl="0" w:tplc="0409000F">
      <w:start w:val="1"/>
      <w:numFmt w:val="decimal"/>
      <w:pStyle w:val="ListBulle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CD66BC0"/>
    <w:multiLevelType w:val="hybridMultilevel"/>
    <w:tmpl w:val="5EB4B30C"/>
    <w:lvl w:ilvl="0" w:tplc="0409000F">
      <w:start w:val="1"/>
      <w:numFmt w:val="decimal"/>
      <w:lvlText w:val="%1."/>
      <w:lvlJc w:val="left"/>
      <w:pPr>
        <w:ind w:left="720" w:hanging="360"/>
      </w:pPr>
      <w:rPr>
        <w:rFonts w:hint="default"/>
      </w:rPr>
    </w:lvl>
    <w:lvl w:ilvl="1" w:tplc="4E90816A">
      <w:start w:val="1"/>
      <w:numFmt w:val="bullet"/>
      <w:lvlText w:val=""/>
      <w:lvlJc w:val="left"/>
      <w:pPr>
        <w:ind w:left="1440" w:hanging="360"/>
      </w:pPr>
      <w:rPr>
        <w:rFonts w:ascii="Symbol" w:hAnsi="Symbol" w:hint="default"/>
        <w:color w:val="FF000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CF753D"/>
    <w:multiLevelType w:val="hybridMultilevel"/>
    <w:tmpl w:val="A1E6A41C"/>
    <w:lvl w:ilvl="0" w:tplc="31A62D50">
      <w:start w:val="1"/>
      <w:numFmt w:val="bullet"/>
      <w:pStyle w:val="Bullet2"/>
      <w:lvlText w:val=""/>
      <w:lvlJc w:val="left"/>
      <w:pPr>
        <w:tabs>
          <w:tab w:val="num" w:pos="720"/>
        </w:tabs>
        <w:ind w:left="720" w:hanging="360"/>
      </w:pPr>
      <w:rPr>
        <w:rFonts w:ascii="Symbol" w:hAnsi="Symbol" w:hint="default"/>
        <w:color w:val="0000AC"/>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9"/>
  </w:num>
  <w:num w:numId="3">
    <w:abstractNumId w:val="35"/>
  </w:num>
  <w:num w:numId="4">
    <w:abstractNumId w:val="18"/>
  </w:num>
  <w:num w:numId="5">
    <w:abstractNumId w:val="38"/>
  </w:num>
  <w:num w:numId="6">
    <w:abstractNumId w:val="6"/>
  </w:num>
  <w:num w:numId="7">
    <w:abstractNumId w:val="28"/>
  </w:num>
  <w:num w:numId="8">
    <w:abstractNumId w:val="8"/>
  </w:num>
  <w:num w:numId="9">
    <w:abstractNumId w:val="2"/>
  </w:num>
  <w:num w:numId="10">
    <w:abstractNumId w:val="22"/>
  </w:num>
  <w:num w:numId="11">
    <w:abstractNumId w:val="12"/>
  </w:num>
  <w:num w:numId="12">
    <w:abstractNumId w:val="1"/>
  </w:num>
  <w:num w:numId="13">
    <w:abstractNumId w:val="34"/>
  </w:num>
  <w:num w:numId="14">
    <w:abstractNumId w:val="25"/>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num>
  <w:num w:numId="17">
    <w:abstractNumId w:val="5"/>
  </w:num>
  <w:num w:numId="18">
    <w:abstractNumId w:val="10"/>
  </w:num>
  <w:num w:numId="19">
    <w:abstractNumId w:val="3"/>
  </w:num>
  <w:num w:numId="20">
    <w:abstractNumId w:val="24"/>
  </w:num>
  <w:num w:numId="21">
    <w:abstractNumId w:val="20"/>
  </w:num>
  <w:num w:numId="22">
    <w:abstractNumId w:val="32"/>
  </w:num>
  <w:num w:numId="23">
    <w:abstractNumId w:val="23"/>
  </w:num>
  <w:num w:numId="24">
    <w:abstractNumId w:val="26"/>
  </w:num>
  <w:num w:numId="25">
    <w:abstractNumId w:val="0"/>
  </w:num>
  <w:num w:numId="26">
    <w:abstractNumId w:val="36"/>
    <w:lvlOverride w:ilvl="0">
      <w:startOverride w:val="1"/>
    </w:lvlOverride>
    <w:lvlOverride w:ilvl="1"/>
    <w:lvlOverride w:ilvl="2"/>
    <w:lvlOverride w:ilvl="3"/>
    <w:lvlOverride w:ilvl="4"/>
    <w:lvlOverride w:ilvl="5"/>
    <w:lvlOverride w:ilvl="6"/>
    <w:lvlOverride w:ilvl="7"/>
    <w:lvlOverride w:ilvl="8"/>
  </w:num>
  <w:num w:numId="27">
    <w:abstractNumId w:val="31"/>
  </w:num>
  <w:num w:numId="28">
    <w:abstractNumId w:val="27"/>
  </w:num>
  <w:num w:numId="29">
    <w:abstractNumId w:val="30"/>
  </w:num>
  <w:num w:numId="30">
    <w:abstractNumId w:val="17"/>
  </w:num>
  <w:num w:numId="31">
    <w:abstractNumId w:val="33"/>
  </w:num>
  <w:num w:numId="32">
    <w:abstractNumId w:val="9"/>
  </w:num>
  <w:num w:numId="33">
    <w:abstractNumId w:val="21"/>
  </w:num>
  <w:num w:numId="34">
    <w:abstractNumId w:val="16"/>
  </w:num>
  <w:num w:numId="35">
    <w:abstractNumId w:val="4"/>
  </w:num>
  <w:num w:numId="36">
    <w:abstractNumId w:val="19"/>
  </w:num>
  <w:num w:numId="37">
    <w:abstractNumId w:val="13"/>
  </w:num>
  <w:num w:numId="38">
    <w:abstractNumId w:val="15"/>
  </w:num>
  <w:num w:numId="3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activeWritingStyle w:appName="MSWord" w:lang="en-US" w:vendorID="8" w:dllVersion="513" w:checkStyle="1"/>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ocumentProtection w:edit="forms" w:enforcement="0"/>
  <w:defaultTabStop w:val="360"/>
  <w:drawingGridHorizontalSpacing w:val="110"/>
  <w:drawingGridVerticalSpacing w:val="299"/>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DF9"/>
    <w:rsid w:val="00003A2C"/>
    <w:rsid w:val="00003CA6"/>
    <w:rsid w:val="00006B3A"/>
    <w:rsid w:val="00012536"/>
    <w:rsid w:val="000136F3"/>
    <w:rsid w:val="00016E17"/>
    <w:rsid w:val="0002216E"/>
    <w:rsid w:val="000247F7"/>
    <w:rsid w:val="00026478"/>
    <w:rsid w:val="00026F54"/>
    <w:rsid w:val="00030FD7"/>
    <w:rsid w:val="00034110"/>
    <w:rsid w:val="00037755"/>
    <w:rsid w:val="00040E00"/>
    <w:rsid w:val="00046178"/>
    <w:rsid w:val="00046728"/>
    <w:rsid w:val="00051C54"/>
    <w:rsid w:val="000525E0"/>
    <w:rsid w:val="00053EEF"/>
    <w:rsid w:val="000543DC"/>
    <w:rsid w:val="00055022"/>
    <w:rsid w:val="000570FD"/>
    <w:rsid w:val="0005750B"/>
    <w:rsid w:val="0006045E"/>
    <w:rsid w:val="000625BB"/>
    <w:rsid w:val="000626F0"/>
    <w:rsid w:val="00063F21"/>
    <w:rsid w:val="0006587B"/>
    <w:rsid w:val="0006787D"/>
    <w:rsid w:val="00067C7B"/>
    <w:rsid w:val="00070322"/>
    <w:rsid w:val="0007610A"/>
    <w:rsid w:val="00082D01"/>
    <w:rsid w:val="0008514F"/>
    <w:rsid w:val="00087856"/>
    <w:rsid w:val="00087E2E"/>
    <w:rsid w:val="000902AA"/>
    <w:rsid w:val="00091980"/>
    <w:rsid w:val="00095D40"/>
    <w:rsid w:val="000A00A2"/>
    <w:rsid w:val="000A0EC5"/>
    <w:rsid w:val="000A1C6D"/>
    <w:rsid w:val="000A7D69"/>
    <w:rsid w:val="000B04AE"/>
    <w:rsid w:val="000B33D1"/>
    <w:rsid w:val="000B6CB5"/>
    <w:rsid w:val="000B788A"/>
    <w:rsid w:val="000C0212"/>
    <w:rsid w:val="000C0A39"/>
    <w:rsid w:val="000C2732"/>
    <w:rsid w:val="000C3040"/>
    <w:rsid w:val="000D05C1"/>
    <w:rsid w:val="000D4D01"/>
    <w:rsid w:val="000D4DE4"/>
    <w:rsid w:val="000D53F1"/>
    <w:rsid w:val="000D5777"/>
    <w:rsid w:val="000E14BC"/>
    <w:rsid w:val="000E27FF"/>
    <w:rsid w:val="000E2FB7"/>
    <w:rsid w:val="000E5A2F"/>
    <w:rsid w:val="000E6B75"/>
    <w:rsid w:val="000E7E30"/>
    <w:rsid w:val="000F21E2"/>
    <w:rsid w:val="000F53F4"/>
    <w:rsid w:val="001034D7"/>
    <w:rsid w:val="00104792"/>
    <w:rsid w:val="00104F2A"/>
    <w:rsid w:val="00107A04"/>
    <w:rsid w:val="0011170B"/>
    <w:rsid w:val="00115360"/>
    <w:rsid w:val="00115F2B"/>
    <w:rsid w:val="001178CA"/>
    <w:rsid w:val="0011797A"/>
    <w:rsid w:val="00123056"/>
    <w:rsid w:val="0012407F"/>
    <w:rsid w:val="00130308"/>
    <w:rsid w:val="001307A5"/>
    <w:rsid w:val="00132441"/>
    <w:rsid w:val="00135AF7"/>
    <w:rsid w:val="00140BC2"/>
    <w:rsid w:val="00152153"/>
    <w:rsid w:val="00157E04"/>
    <w:rsid w:val="00160657"/>
    <w:rsid w:val="00160B87"/>
    <w:rsid w:val="001622E8"/>
    <w:rsid w:val="00162E9A"/>
    <w:rsid w:val="001673C4"/>
    <w:rsid w:val="001677DC"/>
    <w:rsid w:val="00172119"/>
    <w:rsid w:val="00183665"/>
    <w:rsid w:val="00185DF6"/>
    <w:rsid w:val="001867EC"/>
    <w:rsid w:val="00187B0F"/>
    <w:rsid w:val="001A04CE"/>
    <w:rsid w:val="001A0E0A"/>
    <w:rsid w:val="001A23B5"/>
    <w:rsid w:val="001A2CDA"/>
    <w:rsid w:val="001A2EB4"/>
    <w:rsid w:val="001A403F"/>
    <w:rsid w:val="001A44C9"/>
    <w:rsid w:val="001A4633"/>
    <w:rsid w:val="001A788F"/>
    <w:rsid w:val="001B4509"/>
    <w:rsid w:val="001B6AE8"/>
    <w:rsid w:val="001B7B33"/>
    <w:rsid w:val="001C0891"/>
    <w:rsid w:val="001C10AF"/>
    <w:rsid w:val="001D1CB1"/>
    <w:rsid w:val="001D4FDD"/>
    <w:rsid w:val="001D6C62"/>
    <w:rsid w:val="001E10B0"/>
    <w:rsid w:val="001E2CF1"/>
    <w:rsid w:val="001F0BBE"/>
    <w:rsid w:val="001F2D0D"/>
    <w:rsid w:val="001F3D44"/>
    <w:rsid w:val="001F5C19"/>
    <w:rsid w:val="00200E58"/>
    <w:rsid w:val="00203A3C"/>
    <w:rsid w:val="002064D3"/>
    <w:rsid w:val="002069A4"/>
    <w:rsid w:val="002079D9"/>
    <w:rsid w:val="002106BF"/>
    <w:rsid w:val="0021417B"/>
    <w:rsid w:val="00214B73"/>
    <w:rsid w:val="002176B8"/>
    <w:rsid w:val="00217D61"/>
    <w:rsid w:val="002216AD"/>
    <w:rsid w:val="00221D99"/>
    <w:rsid w:val="00223A9F"/>
    <w:rsid w:val="00224609"/>
    <w:rsid w:val="0022639A"/>
    <w:rsid w:val="0022674D"/>
    <w:rsid w:val="002269B1"/>
    <w:rsid w:val="00227977"/>
    <w:rsid w:val="0023449A"/>
    <w:rsid w:val="00235F34"/>
    <w:rsid w:val="00235F88"/>
    <w:rsid w:val="00237566"/>
    <w:rsid w:val="002409BE"/>
    <w:rsid w:val="00240E92"/>
    <w:rsid w:val="0024322B"/>
    <w:rsid w:val="002539DC"/>
    <w:rsid w:val="00255975"/>
    <w:rsid w:val="002607C5"/>
    <w:rsid w:val="002702F7"/>
    <w:rsid w:val="00273EAA"/>
    <w:rsid w:val="00276702"/>
    <w:rsid w:val="0028328D"/>
    <w:rsid w:val="002838F5"/>
    <w:rsid w:val="002849F4"/>
    <w:rsid w:val="00285648"/>
    <w:rsid w:val="00285BB6"/>
    <w:rsid w:val="00285BFD"/>
    <w:rsid w:val="00291163"/>
    <w:rsid w:val="002933F0"/>
    <w:rsid w:val="00293EF0"/>
    <w:rsid w:val="0029491C"/>
    <w:rsid w:val="00295758"/>
    <w:rsid w:val="00295832"/>
    <w:rsid w:val="002A08C6"/>
    <w:rsid w:val="002A4078"/>
    <w:rsid w:val="002A4C66"/>
    <w:rsid w:val="002A5CE0"/>
    <w:rsid w:val="002B2F3C"/>
    <w:rsid w:val="002B4E42"/>
    <w:rsid w:val="002C24EF"/>
    <w:rsid w:val="002C32AB"/>
    <w:rsid w:val="002C3B86"/>
    <w:rsid w:val="002C41F9"/>
    <w:rsid w:val="002C4495"/>
    <w:rsid w:val="002C5AC8"/>
    <w:rsid w:val="002C61F0"/>
    <w:rsid w:val="002C6E58"/>
    <w:rsid w:val="002C76AB"/>
    <w:rsid w:val="002D1579"/>
    <w:rsid w:val="002D1EA9"/>
    <w:rsid w:val="002D3FBE"/>
    <w:rsid w:val="002D4536"/>
    <w:rsid w:val="002D65CF"/>
    <w:rsid w:val="002D6C2C"/>
    <w:rsid w:val="002E059A"/>
    <w:rsid w:val="002E50DC"/>
    <w:rsid w:val="002F3FA6"/>
    <w:rsid w:val="002F48C8"/>
    <w:rsid w:val="002F55CE"/>
    <w:rsid w:val="002F76F5"/>
    <w:rsid w:val="0030403B"/>
    <w:rsid w:val="00307565"/>
    <w:rsid w:val="00307FE6"/>
    <w:rsid w:val="00312920"/>
    <w:rsid w:val="00314A8A"/>
    <w:rsid w:val="00320C20"/>
    <w:rsid w:val="00322418"/>
    <w:rsid w:val="00324EC2"/>
    <w:rsid w:val="003277E1"/>
    <w:rsid w:val="003279F2"/>
    <w:rsid w:val="003312D1"/>
    <w:rsid w:val="0033521E"/>
    <w:rsid w:val="0033743F"/>
    <w:rsid w:val="00340904"/>
    <w:rsid w:val="00342BA9"/>
    <w:rsid w:val="003453BD"/>
    <w:rsid w:val="003455BC"/>
    <w:rsid w:val="003457A8"/>
    <w:rsid w:val="003470C3"/>
    <w:rsid w:val="003478EA"/>
    <w:rsid w:val="00353E77"/>
    <w:rsid w:val="00354503"/>
    <w:rsid w:val="00355670"/>
    <w:rsid w:val="0035745C"/>
    <w:rsid w:val="003623F0"/>
    <w:rsid w:val="00370164"/>
    <w:rsid w:val="00370471"/>
    <w:rsid w:val="003711CD"/>
    <w:rsid w:val="00372DF9"/>
    <w:rsid w:val="003754D3"/>
    <w:rsid w:val="00380DB1"/>
    <w:rsid w:val="00383BFC"/>
    <w:rsid w:val="00384611"/>
    <w:rsid w:val="00384CA0"/>
    <w:rsid w:val="00384E1F"/>
    <w:rsid w:val="003870BA"/>
    <w:rsid w:val="00392C70"/>
    <w:rsid w:val="00395A89"/>
    <w:rsid w:val="003A2F4F"/>
    <w:rsid w:val="003A2FA8"/>
    <w:rsid w:val="003A3403"/>
    <w:rsid w:val="003A7343"/>
    <w:rsid w:val="003B0708"/>
    <w:rsid w:val="003B0825"/>
    <w:rsid w:val="003B4770"/>
    <w:rsid w:val="003B7391"/>
    <w:rsid w:val="003C0A48"/>
    <w:rsid w:val="003C20BF"/>
    <w:rsid w:val="003C589F"/>
    <w:rsid w:val="003D5616"/>
    <w:rsid w:val="003D7464"/>
    <w:rsid w:val="003D7950"/>
    <w:rsid w:val="003E1069"/>
    <w:rsid w:val="003E666B"/>
    <w:rsid w:val="003F1A40"/>
    <w:rsid w:val="003F3225"/>
    <w:rsid w:val="003F3E19"/>
    <w:rsid w:val="00402D4E"/>
    <w:rsid w:val="00403036"/>
    <w:rsid w:val="004067AC"/>
    <w:rsid w:val="00423092"/>
    <w:rsid w:val="004253E8"/>
    <w:rsid w:val="0042544A"/>
    <w:rsid w:val="00427EA9"/>
    <w:rsid w:val="00430DF1"/>
    <w:rsid w:val="004319BC"/>
    <w:rsid w:val="004350B0"/>
    <w:rsid w:val="00436CE5"/>
    <w:rsid w:val="0044013C"/>
    <w:rsid w:val="00442ED1"/>
    <w:rsid w:val="004446C4"/>
    <w:rsid w:val="0045295C"/>
    <w:rsid w:val="00460D36"/>
    <w:rsid w:val="00462CBD"/>
    <w:rsid w:val="004654FA"/>
    <w:rsid w:val="00470AB4"/>
    <w:rsid w:val="0047130F"/>
    <w:rsid w:val="00471EF2"/>
    <w:rsid w:val="00472E16"/>
    <w:rsid w:val="004734DF"/>
    <w:rsid w:val="00476911"/>
    <w:rsid w:val="004812AC"/>
    <w:rsid w:val="004864FC"/>
    <w:rsid w:val="00486943"/>
    <w:rsid w:val="00491CF4"/>
    <w:rsid w:val="0049396C"/>
    <w:rsid w:val="00493A48"/>
    <w:rsid w:val="004942AC"/>
    <w:rsid w:val="00495B91"/>
    <w:rsid w:val="004A226F"/>
    <w:rsid w:val="004A5408"/>
    <w:rsid w:val="004A5D36"/>
    <w:rsid w:val="004A75F5"/>
    <w:rsid w:val="004A7695"/>
    <w:rsid w:val="004B237E"/>
    <w:rsid w:val="004B2B95"/>
    <w:rsid w:val="004B3401"/>
    <w:rsid w:val="004C18DF"/>
    <w:rsid w:val="004C24AC"/>
    <w:rsid w:val="004C29E5"/>
    <w:rsid w:val="004C2B46"/>
    <w:rsid w:val="004C384D"/>
    <w:rsid w:val="004C6FA1"/>
    <w:rsid w:val="004D008F"/>
    <w:rsid w:val="004D359E"/>
    <w:rsid w:val="004D4C6D"/>
    <w:rsid w:val="004E01A4"/>
    <w:rsid w:val="004E0CBE"/>
    <w:rsid w:val="004E5EDD"/>
    <w:rsid w:val="004F6742"/>
    <w:rsid w:val="004F709B"/>
    <w:rsid w:val="00503049"/>
    <w:rsid w:val="00505E47"/>
    <w:rsid w:val="005060F0"/>
    <w:rsid w:val="005074D6"/>
    <w:rsid w:val="005078A5"/>
    <w:rsid w:val="00511809"/>
    <w:rsid w:val="00514193"/>
    <w:rsid w:val="005147D1"/>
    <w:rsid w:val="0052257A"/>
    <w:rsid w:val="00522994"/>
    <w:rsid w:val="00527E93"/>
    <w:rsid w:val="00530333"/>
    <w:rsid w:val="0053086A"/>
    <w:rsid w:val="00534B03"/>
    <w:rsid w:val="00534C33"/>
    <w:rsid w:val="00536DB4"/>
    <w:rsid w:val="0054025D"/>
    <w:rsid w:val="0054673C"/>
    <w:rsid w:val="00550C9F"/>
    <w:rsid w:val="0055123E"/>
    <w:rsid w:val="005547AE"/>
    <w:rsid w:val="0055730E"/>
    <w:rsid w:val="005632A0"/>
    <w:rsid w:val="005707D6"/>
    <w:rsid w:val="005744D5"/>
    <w:rsid w:val="00574572"/>
    <w:rsid w:val="00582C4D"/>
    <w:rsid w:val="00585CA4"/>
    <w:rsid w:val="00587D65"/>
    <w:rsid w:val="005900C0"/>
    <w:rsid w:val="005901C2"/>
    <w:rsid w:val="00590C88"/>
    <w:rsid w:val="0059188B"/>
    <w:rsid w:val="00597948"/>
    <w:rsid w:val="00597B60"/>
    <w:rsid w:val="00597D78"/>
    <w:rsid w:val="005A0B5E"/>
    <w:rsid w:val="005A4B86"/>
    <w:rsid w:val="005A72A8"/>
    <w:rsid w:val="005B1AC5"/>
    <w:rsid w:val="005B6A25"/>
    <w:rsid w:val="005C13A5"/>
    <w:rsid w:val="005C4647"/>
    <w:rsid w:val="005D2A87"/>
    <w:rsid w:val="005E0CF2"/>
    <w:rsid w:val="005E2AEA"/>
    <w:rsid w:val="005E62A2"/>
    <w:rsid w:val="005E6B70"/>
    <w:rsid w:val="005F21E3"/>
    <w:rsid w:val="005F37E6"/>
    <w:rsid w:val="005F4671"/>
    <w:rsid w:val="00600A18"/>
    <w:rsid w:val="00605298"/>
    <w:rsid w:val="00607927"/>
    <w:rsid w:val="006122D8"/>
    <w:rsid w:val="0061247A"/>
    <w:rsid w:val="00615938"/>
    <w:rsid w:val="006207EA"/>
    <w:rsid w:val="0063014E"/>
    <w:rsid w:val="00631A2C"/>
    <w:rsid w:val="00643616"/>
    <w:rsid w:val="00646EEB"/>
    <w:rsid w:val="00647E0B"/>
    <w:rsid w:val="0065112D"/>
    <w:rsid w:val="006520EF"/>
    <w:rsid w:val="0066134E"/>
    <w:rsid w:val="0066417F"/>
    <w:rsid w:val="006654A7"/>
    <w:rsid w:val="00670547"/>
    <w:rsid w:val="00671BEF"/>
    <w:rsid w:val="006814BB"/>
    <w:rsid w:val="006840EB"/>
    <w:rsid w:val="00687359"/>
    <w:rsid w:val="00687C1D"/>
    <w:rsid w:val="006900A6"/>
    <w:rsid w:val="006916A8"/>
    <w:rsid w:val="006924D0"/>
    <w:rsid w:val="0069342C"/>
    <w:rsid w:val="00696C60"/>
    <w:rsid w:val="00696F05"/>
    <w:rsid w:val="00697F74"/>
    <w:rsid w:val="006A1886"/>
    <w:rsid w:val="006A291A"/>
    <w:rsid w:val="006A3799"/>
    <w:rsid w:val="006A541C"/>
    <w:rsid w:val="006A5B3B"/>
    <w:rsid w:val="006A63B1"/>
    <w:rsid w:val="006B1D27"/>
    <w:rsid w:val="006C1434"/>
    <w:rsid w:val="006C4543"/>
    <w:rsid w:val="006C61C5"/>
    <w:rsid w:val="006C77ED"/>
    <w:rsid w:val="006C7A4C"/>
    <w:rsid w:val="006D1378"/>
    <w:rsid w:val="006D406B"/>
    <w:rsid w:val="006D7AEF"/>
    <w:rsid w:val="006E12A1"/>
    <w:rsid w:val="006E2B32"/>
    <w:rsid w:val="006F0A18"/>
    <w:rsid w:val="006F1A1A"/>
    <w:rsid w:val="006F2B34"/>
    <w:rsid w:val="00700D2D"/>
    <w:rsid w:val="00704A39"/>
    <w:rsid w:val="0070547B"/>
    <w:rsid w:val="007057ED"/>
    <w:rsid w:val="0070672F"/>
    <w:rsid w:val="007105A6"/>
    <w:rsid w:val="0071130A"/>
    <w:rsid w:val="00715417"/>
    <w:rsid w:val="007166D5"/>
    <w:rsid w:val="00723866"/>
    <w:rsid w:val="00723E66"/>
    <w:rsid w:val="0072434E"/>
    <w:rsid w:val="00726DD4"/>
    <w:rsid w:val="00730F56"/>
    <w:rsid w:val="00733B92"/>
    <w:rsid w:val="00734AA2"/>
    <w:rsid w:val="007406DD"/>
    <w:rsid w:val="00744E2C"/>
    <w:rsid w:val="007460F3"/>
    <w:rsid w:val="00752119"/>
    <w:rsid w:val="00754408"/>
    <w:rsid w:val="00756D0D"/>
    <w:rsid w:val="0076012A"/>
    <w:rsid w:val="007631C7"/>
    <w:rsid w:val="007634B6"/>
    <w:rsid w:val="00763CCC"/>
    <w:rsid w:val="00776264"/>
    <w:rsid w:val="00776C72"/>
    <w:rsid w:val="0078258F"/>
    <w:rsid w:val="00782E74"/>
    <w:rsid w:val="007830C7"/>
    <w:rsid w:val="007846BC"/>
    <w:rsid w:val="007850DA"/>
    <w:rsid w:val="00785FEC"/>
    <w:rsid w:val="00794B6E"/>
    <w:rsid w:val="00795B62"/>
    <w:rsid w:val="007969A4"/>
    <w:rsid w:val="007A0114"/>
    <w:rsid w:val="007B1321"/>
    <w:rsid w:val="007B1904"/>
    <w:rsid w:val="007B24B7"/>
    <w:rsid w:val="007B78E9"/>
    <w:rsid w:val="007C308D"/>
    <w:rsid w:val="007C3804"/>
    <w:rsid w:val="007D6370"/>
    <w:rsid w:val="007D668A"/>
    <w:rsid w:val="007E092F"/>
    <w:rsid w:val="007E3796"/>
    <w:rsid w:val="007E5EC0"/>
    <w:rsid w:val="007E724D"/>
    <w:rsid w:val="007E772D"/>
    <w:rsid w:val="007E7735"/>
    <w:rsid w:val="007F5611"/>
    <w:rsid w:val="007F75D6"/>
    <w:rsid w:val="0080098A"/>
    <w:rsid w:val="00801761"/>
    <w:rsid w:val="008111EB"/>
    <w:rsid w:val="0081257E"/>
    <w:rsid w:val="008130C9"/>
    <w:rsid w:val="00813D02"/>
    <w:rsid w:val="00814833"/>
    <w:rsid w:val="008177C7"/>
    <w:rsid w:val="0082033D"/>
    <w:rsid w:val="008222AD"/>
    <w:rsid w:val="008229DE"/>
    <w:rsid w:val="00824CE5"/>
    <w:rsid w:val="00825E91"/>
    <w:rsid w:val="0083104D"/>
    <w:rsid w:val="008349AE"/>
    <w:rsid w:val="008355D2"/>
    <w:rsid w:val="00835BFD"/>
    <w:rsid w:val="008366F7"/>
    <w:rsid w:val="0084511B"/>
    <w:rsid w:val="00846D77"/>
    <w:rsid w:val="00850819"/>
    <w:rsid w:val="00852480"/>
    <w:rsid w:val="00854BE1"/>
    <w:rsid w:val="00856632"/>
    <w:rsid w:val="0085798F"/>
    <w:rsid w:val="00861B5F"/>
    <w:rsid w:val="00864D4A"/>
    <w:rsid w:val="00867308"/>
    <w:rsid w:val="008820C5"/>
    <w:rsid w:val="008870FC"/>
    <w:rsid w:val="008877CC"/>
    <w:rsid w:val="00891692"/>
    <w:rsid w:val="00893115"/>
    <w:rsid w:val="008938E0"/>
    <w:rsid w:val="00897C95"/>
    <w:rsid w:val="008A0E05"/>
    <w:rsid w:val="008A7D9B"/>
    <w:rsid w:val="008B0543"/>
    <w:rsid w:val="008B4532"/>
    <w:rsid w:val="008B592F"/>
    <w:rsid w:val="008B6BF3"/>
    <w:rsid w:val="008C0888"/>
    <w:rsid w:val="008C0A78"/>
    <w:rsid w:val="008C3505"/>
    <w:rsid w:val="008C58D9"/>
    <w:rsid w:val="008C6195"/>
    <w:rsid w:val="008C7AA6"/>
    <w:rsid w:val="008D30EA"/>
    <w:rsid w:val="008D55C8"/>
    <w:rsid w:val="008D7633"/>
    <w:rsid w:val="008E20DE"/>
    <w:rsid w:val="008E4FA8"/>
    <w:rsid w:val="008F1770"/>
    <w:rsid w:val="008F2B73"/>
    <w:rsid w:val="008F55DE"/>
    <w:rsid w:val="0090106D"/>
    <w:rsid w:val="009013C5"/>
    <w:rsid w:val="00901BB6"/>
    <w:rsid w:val="009061A4"/>
    <w:rsid w:val="009077DA"/>
    <w:rsid w:val="00910216"/>
    <w:rsid w:val="00912E02"/>
    <w:rsid w:val="009143D9"/>
    <w:rsid w:val="00917400"/>
    <w:rsid w:val="00917FC5"/>
    <w:rsid w:val="0092260B"/>
    <w:rsid w:val="009249F8"/>
    <w:rsid w:val="00925072"/>
    <w:rsid w:val="00927566"/>
    <w:rsid w:val="00932425"/>
    <w:rsid w:val="009375EB"/>
    <w:rsid w:val="00941C2F"/>
    <w:rsid w:val="00942024"/>
    <w:rsid w:val="00943C94"/>
    <w:rsid w:val="00944550"/>
    <w:rsid w:val="00947565"/>
    <w:rsid w:val="00950CD4"/>
    <w:rsid w:val="00952E79"/>
    <w:rsid w:val="009550AD"/>
    <w:rsid w:val="0095725F"/>
    <w:rsid w:val="00963263"/>
    <w:rsid w:val="00965363"/>
    <w:rsid w:val="00967D7C"/>
    <w:rsid w:val="009732AC"/>
    <w:rsid w:val="00974BF6"/>
    <w:rsid w:val="00975EE7"/>
    <w:rsid w:val="00977D73"/>
    <w:rsid w:val="00981271"/>
    <w:rsid w:val="009833D8"/>
    <w:rsid w:val="00991E9A"/>
    <w:rsid w:val="0099262A"/>
    <w:rsid w:val="009930EC"/>
    <w:rsid w:val="00994C5C"/>
    <w:rsid w:val="00996799"/>
    <w:rsid w:val="009A05F3"/>
    <w:rsid w:val="009A4ABA"/>
    <w:rsid w:val="009B33D7"/>
    <w:rsid w:val="009B56DA"/>
    <w:rsid w:val="009B68F7"/>
    <w:rsid w:val="009C5D69"/>
    <w:rsid w:val="009D13BB"/>
    <w:rsid w:val="009D278A"/>
    <w:rsid w:val="009D4BD9"/>
    <w:rsid w:val="009D50EB"/>
    <w:rsid w:val="009D5CE6"/>
    <w:rsid w:val="009E32F5"/>
    <w:rsid w:val="009E42D3"/>
    <w:rsid w:val="009E6279"/>
    <w:rsid w:val="009F0238"/>
    <w:rsid w:val="009F2219"/>
    <w:rsid w:val="009F2649"/>
    <w:rsid w:val="009F54FC"/>
    <w:rsid w:val="009F704C"/>
    <w:rsid w:val="009F7C58"/>
    <w:rsid w:val="00A008C7"/>
    <w:rsid w:val="00A0215D"/>
    <w:rsid w:val="00A04591"/>
    <w:rsid w:val="00A06666"/>
    <w:rsid w:val="00A105E0"/>
    <w:rsid w:val="00A1520E"/>
    <w:rsid w:val="00A3018B"/>
    <w:rsid w:val="00A309AA"/>
    <w:rsid w:val="00A3128D"/>
    <w:rsid w:val="00A324EA"/>
    <w:rsid w:val="00A32CBE"/>
    <w:rsid w:val="00A330DF"/>
    <w:rsid w:val="00A33A46"/>
    <w:rsid w:val="00A429C1"/>
    <w:rsid w:val="00A43E88"/>
    <w:rsid w:val="00A45B43"/>
    <w:rsid w:val="00A4794A"/>
    <w:rsid w:val="00A533DE"/>
    <w:rsid w:val="00A53E2B"/>
    <w:rsid w:val="00A546BE"/>
    <w:rsid w:val="00A65B0B"/>
    <w:rsid w:val="00A721A5"/>
    <w:rsid w:val="00A7437A"/>
    <w:rsid w:val="00A77BD3"/>
    <w:rsid w:val="00A817CE"/>
    <w:rsid w:val="00A82E6F"/>
    <w:rsid w:val="00A928FA"/>
    <w:rsid w:val="00AA003E"/>
    <w:rsid w:val="00AA5EE2"/>
    <w:rsid w:val="00AA6BEF"/>
    <w:rsid w:val="00AA7690"/>
    <w:rsid w:val="00AA7B0B"/>
    <w:rsid w:val="00AB114A"/>
    <w:rsid w:val="00AB24B8"/>
    <w:rsid w:val="00AB32CF"/>
    <w:rsid w:val="00AB34A0"/>
    <w:rsid w:val="00AC22E0"/>
    <w:rsid w:val="00AC36D6"/>
    <w:rsid w:val="00AC41BF"/>
    <w:rsid w:val="00AC4E01"/>
    <w:rsid w:val="00AC59EB"/>
    <w:rsid w:val="00AC5EA7"/>
    <w:rsid w:val="00AC6B79"/>
    <w:rsid w:val="00AC7264"/>
    <w:rsid w:val="00AD0CA4"/>
    <w:rsid w:val="00AD2235"/>
    <w:rsid w:val="00AD2316"/>
    <w:rsid w:val="00AE0B65"/>
    <w:rsid w:val="00AE1CDE"/>
    <w:rsid w:val="00AE409C"/>
    <w:rsid w:val="00AF4207"/>
    <w:rsid w:val="00B0119F"/>
    <w:rsid w:val="00B02599"/>
    <w:rsid w:val="00B077C9"/>
    <w:rsid w:val="00B100B5"/>
    <w:rsid w:val="00B1289D"/>
    <w:rsid w:val="00B14060"/>
    <w:rsid w:val="00B16B3C"/>
    <w:rsid w:val="00B25EE3"/>
    <w:rsid w:val="00B269D4"/>
    <w:rsid w:val="00B3357C"/>
    <w:rsid w:val="00B36112"/>
    <w:rsid w:val="00B3778A"/>
    <w:rsid w:val="00B42404"/>
    <w:rsid w:val="00B43701"/>
    <w:rsid w:val="00B466B0"/>
    <w:rsid w:val="00B50E19"/>
    <w:rsid w:val="00B615AE"/>
    <w:rsid w:val="00B619DA"/>
    <w:rsid w:val="00B61C4A"/>
    <w:rsid w:val="00B61EC9"/>
    <w:rsid w:val="00B645BE"/>
    <w:rsid w:val="00B679AD"/>
    <w:rsid w:val="00B717BA"/>
    <w:rsid w:val="00B71F3B"/>
    <w:rsid w:val="00B72DA9"/>
    <w:rsid w:val="00B73EA9"/>
    <w:rsid w:val="00B7744A"/>
    <w:rsid w:val="00B82D4D"/>
    <w:rsid w:val="00B87EE6"/>
    <w:rsid w:val="00B90079"/>
    <w:rsid w:val="00B9148E"/>
    <w:rsid w:val="00B9260A"/>
    <w:rsid w:val="00B937CF"/>
    <w:rsid w:val="00B95777"/>
    <w:rsid w:val="00B96ABD"/>
    <w:rsid w:val="00BA3D77"/>
    <w:rsid w:val="00BA7B29"/>
    <w:rsid w:val="00BB1A99"/>
    <w:rsid w:val="00BB41F7"/>
    <w:rsid w:val="00BC3552"/>
    <w:rsid w:val="00BC520C"/>
    <w:rsid w:val="00BD5090"/>
    <w:rsid w:val="00BD577F"/>
    <w:rsid w:val="00BD6B76"/>
    <w:rsid w:val="00BE569F"/>
    <w:rsid w:val="00BE5DAF"/>
    <w:rsid w:val="00BE64E1"/>
    <w:rsid w:val="00BF18DC"/>
    <w:rsid w:val="00BF302D"/>
    <w:rsid w:val="00BF64E3"/>
    <w:rsid w:val="00C025A2"/>
    <w:rsid w:val="00C04B4F"/>
    <w:rsid w:val="00C113A8"/>
    <w:rsid w:val="00C13DE2"/>
    <w:rsid w:val="00C14408"/>
    <w:rsid w:val="00C14776"/>
    <w:rsid w:val="00C17F58"/>
    <w:rsid w:val="00C210F0"/>
    <w:rsid w:val="00C2140F"/>
    <w:rsid w:val="00C21938"/>
    <w:rsid w:val="00C2753D"/>
    <w:rsid w:val="00C3058E"/>
    <w:rsid w:val="00C307E7"/>
    <w:rsid w:val="00C31497"/>
    <w:rsid w:val="00C31C7A"/>
    <w:rsid w:val="00C33C0B"/>
    <w:rsid w:val="00C34A92"/>
    <w:rsid w:val="00C35829"/>
    <w:rsid w:val="00C35FF0"/>
    <w:rsid w:val="00C370A7"/>
    <w:rsid w:val="00C416FC"/>
    <w:rsid w:val="00C46E7F"/>
    <w:rsid w:val="00C470CA"/>
    <w:rsid w:val="00C47BE9"/>
    <w:rsid w:val="00C50275"/>
    <w:rsid w:val="00C54074"/>
    <w:rsid w:val="00C57E90"/>
    <w:rsid w:val="00C609A7"/>
    <w:rsid w:val="00C61ECC"/>
    <w:rsid w:val="00C62F1C"/>
    <w:rsid w:val="00C6380F"/>
    <w:rsid w:val="00C6620A"/>
    <w:rsid w:val="00C744A3"/>
    <w:rsid w:val="00C74784"/>
    <w:rsid w:val="00C76AAF"/>
    <w:rsid w:val="00C76ACE"/>
    <w:rsid w:val="00C806A4"/>
    <w:rsid w:val="00C81DB5"/>
    <w:rsid w:val="00C900FF"/>
    <w:rsid w:val="00C914D1"/>
    <w:rsid w:val="00C9189A"/>
    <w:rsid w:val="00C97EC9"/>
    <w:rsid w:val="00CA2219"/>
    <w:rsid w:val="00CA2836"/>
    <w:rsid w:val="00CB08CE"/>
    <w:rsid w:val="00CB3FC8"/>
    <w:rsid w:val="00CB442A"/>
    <w:rsid w:val="00CC006F"/>
    <w:rsid w:val="00CC228E"/>
    <w:rsid w:val="00CD0E19"/>
    <w:rsid w:val="00CD3610"/>
    <w:rsid w:val="00CD3B59"/>
    <w:rsid w:val="00CD458E"/>
    <w:rsid w:val="00CD4B2E"/>
    <w:rsid w:val="00CD4DE4"/>
    <w:rsid w:val="00CD604F"/>
    <w:rsid w:val="00CD6527"/>
    <w:rsid w:val="00CD6B3F"/>
    <w:rsid w:val="00CD7DA2"/>
    <w:rsid w:val="00CE11C3"/>
    <w:rsid w:val="00CF1BF1"/>
    <w:rsid w:val="00CF3E63"/>
    <w:rsid w:val="00CF561E"/>
    <w:rsid w:val="00CF63EB"/>
    <w:rsid w:val="00CF6BAE"/>
    <w:rsid w:val="00D10073"/>
    <w:rsid w:val="00D143BA"/>
    <w:rsid w:val="00D14D50"/>
    <w:rsid w:val="00D17878"/>
    <w:rsid w:val="00D201E2"/>
    <w:rsid w:val="00D20DD2"/>
    <w:rsid w:val="00D20E2C"/>
    <w:rsid w:val="00D25464"/>
    <w:rsid w:val="00D31537"/>
    <w:rsid w:val="00D3392E"/>
    <w:rsid w:val="00D34EEE"/>
    <w:rsid w:val="00D37BAF"/>
    <w:rsid w:val="00D50F6A"/>
    <w:rsid w:val="00D51B1E"/>
    <w:rsid w:val="00D56E9A"/>
    <w:rsid w:val="00D67472"/>
    <w:rsid w:val="00D82B9E"/>
    <w:rsid w:val="00D852FD"/>
    <w:rsid w:val="00D86345"/>
    <w:rsid w:val="00D94184"/>
    <w:rsid w:val="00D94736"/>
    <w:rsid w:val="00D96598"/>
    <w:rsid w:val="00D979EA"/>
    <w:rsid w:val="00DA02B9"/>
    <w:rsid w:val="00DA209B"/>
    <w:rsid w:val="00DA42EA"/>
    <w:rsid w:val="00DA5F51"/>
    <w:rsid w:val="00DA77CE"/>
    <w:rsid w:val="00DA7FEA"/>
    <w:rsid w:val="00DB269B"/>
    <w:rsid w:val="00DB3BA2"/>
    <w:rsid w:val="00DB5D6D"/>
    <w:rsid w:val="00DC02B5"/>
    <w:rsid w:val="00DC17F5"/>
    <w:rsid w:val="00DC5C53"/>
    <w:rsid w:val="00DD27D1"/>
    <w:rsid w:val="00DD5D6D"/>
    <w:rsid w:val="00DE221A"/>
    <w:rsid w:val="00DE2334"/>
    <w:rsid w:val="00DE4C77"/>
    <w:rsid w:val="00DE5C1E"/>
    <w:rsid w:val="00DF68F0"/>
    <w:rsid w:val="00DF6CDE"/>
    <w:rsid w:val="00E0113D"/>
    <w:rsid w:val="00E016C2"/>
    <w:rsid w:val="00E039CB"/>
    <w:rsid w:val="00E06C1F"/>
    <w:rsid w:val="00E104A3"/>
    <w:rsid w:val="00E1423B"/>
    <w:rsid w:val="00E1710A"/>
    <w:rsid w:val="00E2179A"/>
    <w:rsid w:val="00E31166"/>
    <w:rsid w:val="00E317E1"/>
    <w:rsid w:val="00E341D8"/>
    <w:rsid w:val="00E3608D"/>
    <w:rsid w:val="00E371CE"/>
    <w:rsid w:val="00E376B4"/>
    <w:rsid w:val="00E46FC2"/>
    <w:rsid w:val="00E55710"/>
    <w:rsid w:val="00E55BF9"/>
    <w:rsid w:val="00E570B7"/>
    <w:rsid w:val="00E5768B"/>
    <w:rsid w:val="00E617EF"/>
    <w:rsid w:val="00E6186E"/>
    <w:rsid w:val="00E6331B"/>
    <w:rsid w:val="00E63CEA"/>
    <w:rsid w:val="00E640D3"/>
    <w:rsid w:val="00E71E4A"/>
    <w:rsid w:val="00E72F03"/>
    <w:rsid w:val="00E7429A"/>
    <w:rsid w:val="00E75D89"/>
    <w:rsid w:val="00E8066B"/>
    <w:rsid w:val="00E8205A"/>
    <w:rsid w:val="00E834B0"/>
    <w:rsid w:val="00E84434"/>
    <w:rsid w:val="00E87B65"/>
    <w:rsid w:val="00E91289"/>
    <w:rsid w:val="00E94ACE"/>
    <w:rsid w:val="00E95517"/>
    <w:rsid w:val="00EA0512"/>
    <w:rsid w:val="00EA1222"/>
    <w:rsid w:val="00EA4A06"/>
    <w:rsid w:val="00EA6CF5"/>
    <w:rsid w:val="00EB2456"/>
    <w:rsid w:val="00EB30F5"/>
    <w:rsid w:val="00EB34A8"/>
    <w:rsid w:val="00EB5C8B"/>
    <w:rsid w:val="00EC47CA"/>
    <w:rsid w:val="00EC6C1C"/>
    <w:rsid w:val="00ED18BA"/>
    <w:rsid w:val="00ED263C"/>
    <w:rsid w:val="00ED2A92"/>
    <w:rsid w:val="00ED503D"/>
    <w:rsid w:val="00EE082A"/>
    <w:rsid w:val="00EE11FD"/>
    <w:rsid w:val="00EE1D07"/>
    <w:rsid w:val="00EE63C6"/>
    <w:rsid w:val="00EF7B86"/>
    <w:rsid w:val="00F0307B"/>
    <w:rsid w:val="00F0683C"/>
    <w:rsid w:val="00F102AB"/>
    <w:rsid w:val="00F13235"/>
    <w:rsid w:val="00F13342"/>
    <w:rsid w:val="00F1494E"/>
    <w:rsid w:val="00F23798"/>
    <w:rsid w:val="00F238F5"/>
    <w:rsid w:val="00F2557B"/>
    <w:rsid w:val="00F260AC"/>
    <w:rsid w:val="00F26DFB"/>
    <w:rsid w:val="00F27043"/>
    <w:rsid w:val="00F32D93"/>
    <w:rsid w:val="00F32E6E"/>
    <w:rsid w:val="00F366BC"/>
    <w:rsid w:val="00F4134A"/>
    <w:rsid w:val="00F4263A"/>
    <w:rsid w:val="00F44CC2"/>
    <w:rsid w:val="00F46025"/>
    <w:rsid w:val="00F47E96"/>
    <w:rsid w:val="00F50A3A"/>
    <w:rsid w:val="00F5277D"/>
    <w:rsid w:val="00F60CCA"/>
    <w:rsid w:val="00F62A1E"/>
    <w:rsid w:val="00F64DB9"/>
    <w:rsid w:val="00F65513"/>
    <w:rsid w:val="00F74235"/>
    <w:rsid w:val="00F74251"/>
    <w:rsid w:val="00F77B3E"/>
    <w:rsid w:val="00F84002"/>
    <w:rsid w:val="00F85399"/>
    <w:rsid w:val="00F93183"/>
    <w:rsid w:val="00FA035F"/>
    <w:rsid w:val="00FA1FC9"/>
    <w:rsid w:val="00FA41F1"/>
    <w:rsid w:val="00FA5944"/>
    <w:rsid w:val="00FA686C"/>
    <w:rsid w:val="00FA6932"/>
    <w:rsid w:val="00FA7E6C"/>
    <w:rsid w:val="00FB004C"/>
    <w:rsid w:val="00FB3972"/>
    <w:rsid w:val="00FB3CC3"/>
    <w:rsid w:val="00FB70DE"/>
    <w:rsid w:val="00FC2BD1"/>
    <w:rsid w:val="00FC51AE"/>
    <w:rsid w:val="00FD17C2"/>
    <w:rsid w:val="00FD634F"/>
    <w:rsid w:val="00FD7E3A"/>
    <w:rsid w:val="00FE0A7C"/>
    <w:rsid w:val="00FE1C20"/>
    <w:rsid w:val="00FE2611"/>
    <w:rsid w:val="00FE480D"/>
    <w:rsid w:val="00FF2067"/>
    <w:rsid w:val="00FF3FFA"/>
    <w:rsid w:val="00FF4EC5"/>
    <w:rsid w:val="00FF76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578209"/>
  <w15:docId w15:val="{DC7DD4AF-6C3B-664B-8025-AF38E1E7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7D65"/>
    <w:pPr>
      <w:spacing w:after="180"/>
    </w:pPr>
    <w:rPr>
      <w:sz w:val="22"/>
    </w:rPr>
  </w:style>
  <w:style w:type="paragraph" w:styleId="Heading1">
    <w:name w:val="heading 1"/>
    <w:basedOn w:val="Normal"/>
    <w:next w:val="BodyText"/>
    <w:link w:val="Heading1Char"/>
    <w:qFormat/>
    <w:rsid w:val="008229DE"/>
    <w:pPr>
      <w:numPr>
        <w:numId w:val="4"/>
      </w:numPr>
      <w:pBdr>
        <w:bottom w:val="single" w:sz="4" w:space="1" w:color="auto"/>
      </w:pBdr>
      <w:spacing w:after="0"/>
      <w:outlineLvl w:val="0"/>
    </w:pPr>
    <w:rPr>
      <w:rFonts w:ascii="Century Gothic" w:eastAsiaTheme="minorHAnsi" w:hAnsi="Century Gothic" w:cstheme="minorBidi"/>
      <w:b/>
      <w:i/>
      <w:color w:val="DA291C"/>
      <w:spacing w:val="20"/>
      <w:sz w:val="28"/>
      <w:szCs w:val="22"/>
    </w:rPr>
  </w:style>
  <w:style w:type="paragraph" w:styleId="Heading2">
    <w:name w:val="heading 2"/>
    <w:basedOn w:val="Normal"/>
    <w:next w:val="BodyText"/>
    <w:link w:val="Heading2Char"/>
    <w:qFormat/>
    <w:rsid w:val="00B36112"/>
    <w:pPr>
      <w:keepNext/>
      <w:numPr>
        <w:ilvl w:val="1"/>
        <w:numId w:val="4"/>
      </w:numPr>
      <w:tabs>
        <w:tab w:val="left" w:pos="720"/>
      </w:tabs>
      <w:spacing w:after="0"/>
      <w:outlineLvl w:val="1"/>
    </w:pPr>
    <w:rPr>
      <w:rFonts w:ascii="Century Gothic" w:hAnsi="Century Gothic" w:cs="Arial"/>
      <w:b/>
      <w:bCs/>
      <w:iCs/>
      <w:color w:val="808080" w:themeColor="background1" w:themeShade="80"/>
      <w:sz w:val="24"/>
      <w:szCs w:val="28"/>
    </w:rPr>
  </w:style>
  <w:style w:type="paragraph" w:styleId="Heading3">
    <w:name w:val="heading 3"/>
    <w:basedOn w:val="Normal"/>
    <w:next w:val="BodyText"/>
    <w:qFormat/>
    <w:rsid w:val="00996799"/>
    <w:pPr>
      <w:keepNext/>
      <w:numPr>
        <w:ilvl w:val="2"/>
        <w:numId w:val="4"/>
      </w:numPr>
      <w:spacing w:after="0"/>
      <w:outlineLvl w:val="2"/>
    </w:pPr>
    <w:rPr>
      <w:rFonts w:ascii="Century Gothic" w:eastAsiaTheme="minorHAnsi" w:hAnsi="Century Gothic"/>
      <w:b/>
      <w:i/>
      <w:color w:val="48A9C5" w:themeColor="text2"/>
      <w:szCs w:val="22"/>
    </w:rPr>
  </w:style>
  <w:style w:type="paragraph" w:styleId="Heading4">
    <w:name w:val="heading 4"/>
    <w:basedOn w:val="Normal"/>
    <w:next w:val="BodyText"/>
    <w:link w:val="Heading4Char"/>
    <w:qFormat/>
    <w:rsid w:val="00C74784"/>
    <w:pPr>
      <w:keepNext/>
      <w:numPr>
        <w:ilvl w:val="3"/>
        <w:numId w:val="4"/>
      </w:numPr>
      <w:spacing w:after="0"/>
      <w:outlineLvl w:val="3"/>
    </w:pPr>
    <w:rPr>
      <w:rFonts w:ascii="Century Gothic" w:hAnsi="Century Gothic"/>
      <w:b/>
      <w:i/>
      <w:sz w:val="20"/>
    </w:rPr>
  </w:style>
  <w:style w:type="paragraph" w:styleId="Heading5">
    <w:name w:val="heading 5"/>
    <w:basedOn w:val="Normal"/>
    <w:next w:val="BodyText"/>
    <w:qFormat/>
    <w:rsid w:val="006A3799"/>
    <w:pPr>
      <w:keepNext/>
      <w:keepLines/>
      <w:numPr>
        <w:ilvl w:val="4"/>
        <w:numId w:val="4"/>
      </w:numPr>
      <w:spacing w:after="0"/>
      <w:outlineLvl w:val="4"/>
    </w:pPr>
    <w:rPr>
      <w:rFonts w:ascii="Arial" w:hAnsi="Arial" w:cs="Arial"/>
      <w:b/>
      <w:color w:val="DA291C" w:themeColor="accent1"/>
      <w:sz w:val="20"/>
    </w:rPr>
  </w:style>
  <w:style w:type="paragraph" w:styleId="Heading6">
    <w:name w:val="heading 6"/>
    <w:basedOn w:val="Normal"/>
    <w:next w:val="Normal"/>
    <w:qFormat/>
    <w:rsid w:val="00495B91"/>
    <w:pPr>
      <w:numPr>
        <w:ilvl w:val="5"/>
        <w:numId w:val="4"/>
      </w:numPr>
      <w:spacing w:before="60" w:after="60"/>
      <w:outlineLvl w:val="5"/>
    </w:pPr>
    <w:rPr>
      <w:b/>
      <w:bCs/>
      <w:szCs w:val="22"/>
    </w:rPr>
  </w:style>
  <w:style w:type="paragraph" w:styleId="Heading7">
    <w:name w:val="heading 7"/>
    <w:basedOn w:val="Normal"/>
    <w:next w:val="Normal"/>
    <w:qFormat/>
    <w:rsid w:val="003A3403"/>
    <w:pPr>
      <w:numPr>
        <w:ilvl w:val="6"/>
        <w:numId w:val="4"/>
      </w:numPr>
      <w:spacing w:before="240" w:after="60"/>
      <w:outlineLvl w:val="6"/>
    </w:pPr>
    <w:rPr>
      <w:sz w:val="24"/>
      <w:szCs w:val="24"/>
    </w:rPr>
  </w:style>
  <w:style w:type="paragraph" w:styleId="Heading8">
    <w:name w:val="heading 8"/>
    <w:basedOn w:val="Normal"/>
    <w:next w:val="Normal"/>
    <w:qFormat/>
    <w:rsid w:val="003A3403"/>
    <w:pPr>
      <w:numPr>
        <w:ilvl w:val="7"/>
        <w:numId w:val="4"/>
      </w:numPr>
      <w:spacing w:before="240" w:after="60"/>
      <w:outlineLvl w:val="7"/>
    </w:pPr>
    <w:rPr>
      <w:i/>
      <w:iCs/>
      <w:sz w:val="24"/>
      <w:szCs w:val="24"/>
    </w:rPr>
  </w:style>
  <w:style w:type="paragraph" w:styleId="Heading9">
    <w:name w:val="heading 9"/>
    <w:basedOn w:val="Normal"/>
    <w:next w:val="Normal"/>
    <w:qFormat/>
    <w:rsid w:val="003A3403"/>
    <w:pPr>
      <w:numPr>
        <w:ilvl w:val="8"/>
        <w:numId w:val="4"/>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72DF9"/>
    <w:pPr>
      <w:tabs>
        <w:tab w:val="center" w:pos="4680"/>
        <w:tab w:val="right" w:pos="9360"/>
      </w:tabs>
      <w:spacing w:after="0"/>
    </w:pPr>
    <w:rPr>
      <w:rFonts w:ascii="Century Gothic" w:hAnsi="Century Gothic"/>
      <w:b/>
      <w:color w:val="DA291C"/>
      <w:sz w:val="24"/>
    </w:rPr>
  </w:style>
  <w:style w:type="character" w:customStyle="1" w:styleId="FooterChar">
    <w:name w:val="Footer Char"/>
    <w:basedOn w:val="DefaultParagraphFont"/>
    <w:link w:val="Footer"/>
    <w:rsid w:val="00372DF9"/>
    <w:rPr>
      <w:rFonts w:ascii="Century Gothic" w:hAnsi="Century Gothic"/>
      <w:b/>
      <w:color w:val="DA291C"/>
      <w:sz w:val="24"/>
    </w:rPr>
  </w:style>
  <w:style w:type="paragraph" w:customStyle="1" w:styleId="TableRowHeader">
    <w:name w:val="Table Row Header"/>
    <w:rsid w:val="009732AC"/>
    <w:pPr>
      <w:spacing w:before="20" w:after="20"/>
    </w:pPr>
    <w:rPr>
      <w:rFonts w:ascii="Arial Narrow" w:hAnsi="Arial Narrow"/>
      <w:b/>
      <w:color w:val="FFFFFF" w:themeColor="background1"/>
    </w:rPr>
  </w:style>
  <w:style w:type="paragraph" w:styleId="BodyText">
    <w:name w:val="Body Text"/>
    <w:basedOn w:val="Normal"/>
    <w:link w:val="BodyTextChar"/>
    <w:rsid w:val="008229DE"/>
    <w:rPr>
      <w:lang w:val="en"/>
    </w:rPr>
  </w:style>
  <w:style w:type="character" w:customStyle="1" w:styleId="BodyTextChar">
    <w:name w:val="Body Text Char"/>
    <w:basedOn w:val="DefaultParagraphFont"/>
    <w:link w:val="BodyText"/>
    <w:rsid w:val="008229DE"/>
    <w:rPr>
      <w:sz w:val="22"/>
      <w:lang w:val="en"/>
    </w:rPr>
  </w:style>
  <w:style w:type="character" w:styleId="PageNumber">
    <w:name w:val="page number"/>
    <w:basedOn w:val="DefaultParagraphFont"/>
    <w:rsid w:val="00235F34"/>
    <w:rPr>
      <w:rFonts w:ascii="Arial" w:hAnsi="Arial"/>
      <w:color w:val="DA291C" w:themeColor="accent1"/>
      <w:sz w:val="18"/>
    </w:rPr>
  </w:style>
  <w:style w:type="paragraph" w:customStyle="1" w:styleId="Bullets">
    <w:name w:val="Bullets"/>
    <w:basedOn w:val="BodyText"/>
    <w:rsid w:val="00600A18"/>
    <w:pPr>
      <w:numPr>
        <w:numId w:val="3"/>
      </w:numPr>
    </w:pPr>
  </w:style>
  <w:style w:type="paragraph" w:customStyle="1" w:styleId="RefNumbers">
    <w:name w:val="Ref Numbers"/>
    <w:basedOn w:val="BodyText"/>
    <w:pPr>
      <w:numPr>
        <w:numId w:val="2"/>
      </w:numPr>
    </w:pPr>
  </w:style>
  <w:style w:type="paragraph" w:styleId="Header">
    <w:name w:val="header"/>
    <w:aliases w:val="Page Header,table text"/>
    <w:basedOn w:val="Normal"/>
    <w:next w:val="HeaderLine2"/>
    <w:link w:val="HeaderChar"/>
    <w:rsid w:val="00372DF9"/>
    <w:pPr>
      <w:pBdr>
        <w:bottom w:val="inset" w:sz="6" w:space="1" w:color="auto"/>
      </w:pBdr>
      <w:tabs>
        <w:tab w:val="center" w:pos="4680"/>
        <w:tab w:val="right" w:pos="9360"/>
      </w:tabs>
      <w:spacing w:after="0"/>
      <w:jc w:val="right"/>
    </w:pPr>
    <w:rPr>
      <w:rFonts w:ascii="Century Gothic" w:hAnsi="Century Gothic"/>
      <w:b/>
      <w:color w:val="DA291C"/>
      <w:spacing w:val="60"/>
      <w:sz w:val="28"/>
    </w:rPr>
  </w:style>
  <w:style w:type="paragraph" w:styleId="TOC1">
    <w:name w:val="toc 1"/>
    <w:basedOn w:val="Normal"/>
    <w:next w:val="BodyText"/>
    <w:uiPriority w:val="39"/>
    <w:rsid w:val="003453BD"/>
    <w:pPr>
      <w:keepNext/>
      <w:tabs>
        <w:tab w:val="left" w:pos="720"/>
        <w:tab w:val="left" w:pos="1440"/>
        <w:tab w:val="right" w:leader="dot" w:pos="9360"/>
      </w:tabs>
      <w:spacing w:before="120" w:after="0"/>
    </w:pPr>
    <w:rPr>
      <w:rFonts w:ascii="Arial Narrow" w:eastAsia="Calibri" w:hAnsi="Arial Narrow"/>
      <w:b/>
      <w:noProof/>
      <w:sz w:val="24"/>
      <w:szCs w:val="24"/>
      <w:u w:color="7F7F7F" w:themeColor="text1" w:themeTint="80"/>
    </w:rPr>
  </w:style>
  <w:style w:type="character" w:styleId="CommentReference">
    <w:name w:val="annotation reference"/>
    <w:basedOn w:val="DefaultParagraphFont"/>
    <w:uiPriority w:val="99"/>
    <w:semiHidden/>
    <w:rPr>
      <w:sz w:val="16"/>
    </w:rPr>
  </w:style>
  <w:style w:type="paragraph" w:styleId="TOC2">
    <w:name w:val="toc 2"/>
    <w:next w:val="BodyText"/>
    <w:uiPriority w:val="39"/>
    <w:rsid w:val="003453BD"/>
    <w:pPr>
      <w:tabs>
        <w:tab w:val="left" w:pos="1260"/>
        <w:tab w:val="right" w:leader="dot" w:pos="9360"/>
      </w:tabs>
      <w:ind w:left="1260" w:right="540" w:hanging="540"/>
    </w:pPr>
    <w:rPr>
      <w:rFonts w:ascii="Arial Narrow" w:hAnsi="Arial Narrow"/>
      <w:noProof/>
      <w:sz w:val="24"/>
    </w:rPr>
  </w:style>
  <w:style w:type="paragraph" w:styleId="TOC3">
    <w:name w:val="toc 3"/>
    <w:next w:val="BodyText"/>
    <w:uiPriority w:val="39"/>
    <w:rsid w:val="003453BD"/>
    <w:pPr>
      <w:tabs>
        <w:tab w:val="left" w:pos="1980"/>
        <w:tab w:val="right" w:leader="dot" w:pos="9360"/>
      </w:tabs>
      <w:ind w:left="1980" w:right="540" w:hanging="720"/>
    </w:pPr>
    <w:rPr>
      <w:rFonts w:ascii="Arial Narrow" w:hAnsi="Arial Narrow"/>
      <w:noProof/>
      <w:sz w:val="24"/>
    </w:rPr>
  </w:style>
  <w:style w:type="paragraph" w:styleId="TOC4">
    <w:name w:val="toc 4"/>
    <w:basedOn w:val="BodyText"/>
    <w:next w:val="BodyText"/>
    <w:uiPriority w:val="39"/>
    <w:rsid w:val="0066417F"/>
    <w:pPr>
      <w:tabs>
        <w:tab w:val="right" w:leader="dot" w:pos="9360"/>
      </w:tabs>
      <w:spacing w:after="0"/>
      <w:ind w:left="1800" w:right="540"/>
    </w:pPr>
    <w:rPr>
      <w:noProof/>
    </w:r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character" w:styleId="FootnoteReference">
    <w:name w:val="footnote reference"/>
    <w:basedOn w:val="DefaultParagraphFont"/>
    <w:uiPriority w:val="99"/>
    <w:rsid w:val="007B1904"/>
    <w:rPr>
      <w:vertAlign w:val="superscript"/>
    </w:rPr>
  </w:style>
  <w:style w:type="paragraph" w:styleId="FootnoteText">
    <w:name w:val="footnote text"/>
    <w:basedOn w:val="Normal"/>
    <w:link w:val="FootnoteTextChar"/>
    <w:uiPriority w:val="99"/>
    <w:pPr>
      <w:spacing w:after="120"/>
      <w:ind w:left="360" w:hanging="360"/>
    </w:pPr>
    <w:rPr>
      <w:sz w:val="20"/>
    </w:rPr>
  </w:style>
  <w:style w:type="paragraph" w:styleId="Index1">
    <w:name w:val="index 1"/>
    <w:basedOn w:val="Normal"/>
    <w:next w:val="Normal"/>
    <w:autoRedefine/>
    <w:semiHidden/>
    <w:pPr>
      <w:ind w:left="220" w:hanging="220"/>
    </w:pPr>
    <w:rPr>
      <w:sz w:val="20"/>
    </w:rPr>
  </w:style>
  <w:style w:type="paragraph" w:styleId="Index2">
    <w:name w:val="index 2"/>
    <w:basedOn w:val="Normal"/>
    <w:next w:val="Normal"/>
    <w:autoRedefine/>
    <w:semiHidden/>
    <w:pPr>
      <w:ind w:left="440" w:hanging="220"/>
    </w:pPr>
    <w:rPr>
      <w:sz w:val="20"/>
    </w:rPr>
  </w:style>
  <w:style w:type="paragraph" w:styleId="Index3">
    <w:name w:val="index 3"/>
    <w:basedOn w:val="Normal"/>
    <w:next w:val="Normal"/>
    <w:autoRedefine/>
    <w:semiHidden/>
    <w:pPr>
      <w:ind w:left="660" w:hanging="220"/>
    </w:pPr>
    <w:rPr>
      <w:sz w:val="20"/>
    </w:rPr>
  </w:style>
  <w:style w:type="paragraph" w:customStyle="1" w:styleId="Numbers">
    <w:name w:val="Numbers"/>
    <w:basedOn w:val="BodyText"/>
    <w:pPr>
      <w:numPr>
        <w:numId w:val="1"/>
      </w:numPr>
      <w:ind w:left="720"/>
    </w:pPr>
  </w:style>
  <w:style w:type="paragraph" w:customStyle="1" w:styleId="BoxText">
    <w:name w:val="Box Text"/>
    <w:basedOn w:val="BodyText"/>
    <w:rsid w:val="00C6380F"/>
    <w:rPr>
      <w:rFonts w:ascii="Arial" w:hAnsi="Arial" w:cs="Arial"/>
      <w:sz w:val="18"/>
    </w:rPr>
  </w:style>
  <w:style w:type="paragraph" w:styleId="CommentText">
    <w:name w:val="annotation text"/>
    <w:basedOn w:val="Normal"/>
    <w:link w:val="CommentTextChar"/>
    <w:uiPriority w:val="99"/>
    <w:semiHidden/>
    <w:rsid w:val="00D34EEE"/>
    <w:rPr>
      <w:sz w:val="20"/>
    </w:rPr>
  </w:style>
  <w:style w:type="paragraph" w:styleId="CommentSubject">
    <w:name w:val="annotation subject"/>
    <w:basedOn w:val="CommentText"/>
    <w:next w:val="CommentText"/>
    <w:semiHidden/>
    <w:rsid w:val="00D34EEE"/>
    <w:rPr>
      <w:b/>
      <w:bCs/>
    </w:rPr>
  </w:style>
  <w:style w:type="paragraph" w:styleId="BalloonText">
    <w:name w:val="Balloon Text"/>
    <w:basedOn w:val="Normal"/>
    <w:semiHidden/>
    <w:rsid w:val="00D34EEE"/>
    <w:rPr>
      <w:rFonts w:ascii="Tahoma" w:hAnsi="Tahoma" w:cs="Tahoma"/>
      <w:sz w:val="16"/>
      <w:szCs w:val="16"/>
    </w:rPr>
  </w:style>
  <w:style w:type="table" w:styleId="TableGrid">
    <w:name w:val="Table Grid"/>
    <w:basedOn w:val="TableNormal"/>
    <w:uiPriority w:val="59"/>
    <w:rsid w:val="005B1A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52119"/>
    <w:rPr>
      <w:color w:val="0000FF"/>
      <w:u w:val="single"/>
    </w:rPr>
  </w:style>
  <w:style w:type="paragraph" w:customStyle="1" w:styleId="TOCHeader">
    <w:name w:val="TOC Header"/>
    <w:basedOn w:val="Normal"/>
    <w:next w:val="BodyText"/>
    <w:rsid w:val="003453BD"/>
    <w:rPr>
      <w:rFonts w:ascii="Century Gothic" w:hAnsi="Century Gothic"/>
      <w:b/>
      <w:color w:val="DA291C" w:themeColor="accent1"/>
      <w:sz w:val="28"/>
      <w:szCs w:val="28"/>
    </w:rPr>
  </w:style>
  <w:style w:type="paragraph" w:customStyle="1" w:styleId="VolumeHeader">
    <w:name w:val="Volume Header"/>
    <w:basedOn w:val="Normal"/>
    <w:next w:val="BodyText"/>
    <w:rsid w:val="002064D3"/>
    <w:pPr>
      <w:pBdr>
        <w:top w:val="single" w:sz="2" w:space="2" w:color="DA291C"/>
        <w:bottom w:val="single" w:sz="2" w:space="2" w:color="DA291C"/>
      </w:pBdr>
      <w:shd w:val="clear" w:color="auto" w:fill="DA291C"/>
      <w:tabs>
        <w:tab w:val="left" w:pos="1170"/>
      </w:tabs>
    </w:pPr>
    <w:rPr>
      <w:rFonts w:ascii="Arial Bold" w:hAnsi="Arial Bold"/>
      <w:b/>
      <w:color w:val="FFFFFF"/>
      <w:sz w:val="24"/>
      <w:szCs w:val="24"/>
    </w:rPr>
  </w:style>
  <w:style w:type="paragraph" w:styleId="Caption">
    <w:name w:val="caption"/>
    <w:basedOn w:val="NoSpacing"/>
    <w:next w:val="BodyText"/>
    <w:link w:val="CaptionChar"/>
    <w:qFormat/>
    <w:rsid w:val="005A0B5E"/>
    <w:pPr>
      <w:keepNext/>
      <w:tabs>
        <w:tab w:val="left" w:pos="1080"/>
      </w:tabs>
      <w:spacing w:after="120"/>
      <w:ind w:left="1080" w:hanging="1080"/>
    </w:pPr>
    <w:rPr>
      <w:b/>
      <w:i/>
    </w:rPr>
  </w:style>
  <w:style w:type="paragraph" w:customStyle="1" w:styleId="FooterLandscape">
    <w:name w:val="Footer Landscape"/>
    <w:basedOn w:val="Footer"/>
    <w:rsid w:val="00EE1D07"/>
    <w:pPr>
      <w:tabs>
        <w:tab w:val="center" w:pos="6480"/>
        <w:tab w:val="right" w:pos="12960"/>
      </w:tabs>
    </w:pPr>
  </w:style>
  <w:style w:type="paragraph" w:customStyle="1" w:styleId="CoverTechorBusiness">
    <w:name w:val="Cover Tech or Business"/>
    <w:basedOn w:val="Normal"/>
    <w:qFormat/>
    <w:rsid w:val="0099262A"/>
    <w:pPr>
      <w:shd w:val="solid" w:color="FFFFFF" w:fill="FFFFFF"/>
      <w:spacing w:line="276" w:lineRule="auto"/>
      <w:jc w:val="right"/>
    </w:pPr>
    <w:rPr>
      <w:rFonts w:ascii="Arial" w:hAnsi="Arial"/>
      <w:color w:val="DA291C"/>
      <w:sz w:val="20"/>
    </w:rPr>
  </w:style>
  <w:style w:type="paragraph" w:customStyle="1" w:styleId="Bullet2">
    <w:name w:val="Bullet2"/>
    <w:basedOn w:val="Normal"/>
    <w:rsid w:val="00240E92"/>
    <w:pPr>
      <w:numPr>
        <w:numId w:val="5"/>
      </w:numPr>
      <w:spacing w:after="0"/>
    </w:pPr>
  </w:style>
  <w:style w:type="paragraph" w:customStyle="1" w:styleId="ProposalTitle">
    <w:name w:val="Proposal Title"/>
    <w:basedOn w:val="Normal"/>
    <w:qFormat/>
    <w:rsid w:val="00536DB4"/>
    <w:pPr>
      <w:autoSpaceDE w:val="0"/>
      <w:autoSpaceDN w:val="0"/>
      <w:adjustRightInd w:val="0"/>
      <w:ind w:left="6696" w:right="-792"/>
    </w:pPr>
    <w:rPr>
      <w:b/>
      <w:sz w:val="32"/>
      <w:szCs w:val="32"/>
    </w:rPr>
  </w:style>
  <w:style w:type="paragraph" w:customStyle="1" w:styleId="RFPNumber">
    <w:name w:val="RFP Number"/>
    <w:basedOn w:val="Normal"/>
    <w:qFormat/>
    <w:rsid w:val="00536DB4"/>
    <w:pPr>
      <w:autoSpaceDE w:val="0"/>
      <w:autoSpaceDN w:val="0"/>
      <w:adjustRightInd w:val="0"/>
      <w:ind w:left="6696" w:right="-792"/>
    </w:pPr>
    <w:rPr>
      <w:sz w:val="32"/>
      <w:szCs w:val="32"/>
    </w:rPr>
  </w:style>
  <w:style w:type="paragraph" w:customStyle="1" w:styleId="CoverTextRed14pt">
    <w:name w:val="Cover Text  Red 14pt"/>
    <w:basedOn w:val="Normal"/>
    <w:qFormat/>
    <w:rsid w:val="008877CC"/>
    <w:pPr>
      <w:tabs>
        <w:tab w:val="left" w:pos="720"/>
        <w:tab w:val="left" w:pos="1080"/>
        <w:tab w:val="left" w:pos="1440"/>
        <w:tab w:val="left" w:pos="1800"/>
        <w:tab w:val="left" w:pos="6660"/>
      </w:tabs>
      <w:spacing w:after="0"/>
      <w:ind w:left="6490" w:right="-540"/>
      <w:jc w:val="right"/>
    </w:pPr>
    <w:rPr>
      <w:rFonts w:ascii="Arial" w:hAnsi="Arial"/>
      <w:b/>
      <w:color w:val="DA291C" w:themeColor="accent1"/>
      <w:sz w:val="28"/>
      <w:szCs w:val="32"/>
    </w:rPr>
  </w:style>
  <w:style w:type="paragraph" w:customStyle="1" w:styleId="CoverText11pt">
    <w:name w:val="Cover Text 11 pt"/>
    <w:basedOn w:val="Normal"/>
    <w:qFormat/>
    <w:rsid w:val="001E2CF1"/>
    <w:pPr>
      <w:tabs>
        <w:tab w:val="left" w:pos="720"/>
        <w:tab w:val="left" w:pos="1080"/>
        <w:tab w:val="left" w:pos="1440"/>
        <w:tab w:val="left" w:pos="1800"/>
        <w:tab w:val="left" w:pos="6660"/>
      </w:tabs>
      <w:spacing w:after="0"/>
      <w:ind w:left="6490" w:right="-540"/>
      <w:jc w:val="right"/>
    </w:pPr>
    <w:rPr>
      <w:rFonts w:ascii="Arial" w:hAnsi="Arial"/>
      <w:i/>
      <w:color w:val="616662"/>
      <w:szCs w:val="24"/>
    </w:rPr>
  </w:style>
  <w:style w:type="paragraph" w:customStyle="1" w:styleId="CoverText-Address">
    <w:name w:val="Cover Text - Address"/>
    <w:basedOn w:val="Normal"/>
    <w:qFormat/>
    <w:rsid w:val="001E2CF1"/>
    <w:pPr>
      <w:tabs>
        <w:tab w:val="left" w:pos="720"/>
        <w:tab w:val="left" w:pos="1080"/>
        <w:tab w:val="left" w:pos="1440"/>
        <w:tab w:val="left" w:pos="1800"/>
        <w:tab w:val="left" w:pos="6660"/>
      </w:tabs>
      <w:spacing w:after="0"/>
      <w:ind w:left="6490" w:right="-540"/>
      <w:jc w:val="right"/>
    </w:pPr>
    <w:rPr>
      <w:rFonts w:ascii="Arial" w:hAnsi="Arial"/>
      <w:color w:val="616662"/>
      <w:szCs w:val="24"/>
    </w:rPr>
  </w:style>
  <w:style w:type="character" w:customStyle="1" w:styleId="FootnoteTextChar">
    <w:name w:val="Footnote Text Char"/>
    <w:basedOn w:val="DefaultParagraphFont"/>
    <w:link w:val="FootnoteText"/>
    <w:uiPriority w:val="99"/>
    <w:rsid w:val="00574572"/>
  </w:style>
  <w:style w:type="paragraph" w:customStyle="1" w:styleId="TableText">
    <w:name w:val="Table Text"/>
    <w:basedOn w:val="Normal"/>
    <w:qFormat/>
    <w:rsid w:val="009732AC"/>
    <w:pPr>
      <w:spacing w:before="20" w:after="20"/>
    </w:pPr>
    <w:rPr>
      <w:rFonts w:ascii="Arial Narrow" w:hAnsi="Arial Narrow"/>
      <w:sz w:val="20"/>
    </w:rPr>
  </w:style>
  <w:style w:type="paragraph" w:customStyle="1" w:styleId="TableSource">
    <w:name w:val="Table Source"/>
    <w:basedOn w:val="Normal"/>
    <w:next w:val="BodyText"/>
    <w:qFormat/>
    <w:rsid w:val="00DC17F5"/>
    <w:pPr>
      <w:spacing w:before="120"/>
    </w:pPr>
    <w:rPr>
      <w:rFonts w:ascii="Arial Narrow" w:hAnsi="Arial Narrow" w:cs="Arial"/>
      <w:sz w:val="18"/>
    </w:rPr>
  </w:style>
  <w:style w:type="paragraph" w:customStyle="1" w:styleId="CoverTextGreyBold">
    <w:name w:val="Cover Text Grey Bold"/>
    <w:basedOn w:val="Normal"/>
    <w:qFormat/>
    <w:rsid w:val="00744E2C"/>
    <w:pPr>
      <w:tabs>
        <w:tab w:val="left" w:pos="720"/>
        <w:tab w:val="left" w:pos="1080"/>
        <w:tab w:val="left" w:pos="1440"/>
        <w:tab w:val="left" w:pos="1800"/>
        <w:tab w:val="left" w:pos="6660"/>
      </w:tabs>
      <w:spacing w:after="0"/>
      <w:ind w:left="6490" w:right="-540"/>
      <w:jc w:val="right"/>
    </w:pPr>
    <w:rPr>
      <w:rFonts w:ascii="Arial" w:hAnsi="Arial"/>
      <w:b/>
      <w:color w:val="616662"/>
      <w:szCs w:val="24"/>
    </w:rPr>
  </w:style>
  <w:style w:type="paragraph" w:customStyle="1" w:styleId="Disclaimer">
    <w:name w:val="Disclaimer"/>
    <w:basedOn w:val="Normal"/>
    <w:qFormat/>
    <w:rsid w:val="003453BD"/>
    <w:pPr>
      <w:tabs>
        <w:tab w:val="center" w:pos="4680"/>
        <w:tab w:val="right" w:pos="9360"/>
      </w:tabs>
      <w:spacing w:before="60" w:after="0"/>
      <w:jc w:val="center"/>
    </w:pPr>
    <w:rPr>
      <w:sz w:val="18"/>
    </w:rPr>
  </w:style>
  <w:style w:type="table" w:customStyle="1" w:styleId="AbtFinal">
    <w:name w:val="Abt Final"/>
    <w:basedOn w:val="TableNormal"/>
    <w:uiPriority w:val="99"/>
    <w:rsid w:val="00DC17F5"/>
    <w:rPr>
      <w:rFonts w:ascii="Arial Narrow" w:hAnsi="Arial Narrow"/>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wordWrap/>
        <w:jc w:val="center"/>
      </w:pPr>
      <w:rPr>
        <w:rFonts w:ascii="Arial Narrow" w:hAnsi="Arial Narrow"/>
        <w:b/>
        <w:caps w:val="0"/>
        <w:smallCaps w:val="0"/>
        <w:strike w:val="0"/>
        <w:dstrike w:val="0"/>
        <w:vanish w:val="0"/>
        <w:color w:val="FFFFFF" w:themeColor="background1"/>
        <w:sz w:val="20"/>
        <w:vertAlign w:val="baseline"/>
      </w:rPr>
      <w:tblPr/>
      <w:tcPr>
        <w:shd w:val="clear" w:color="auto" w:fill="48A9C5" w:themeFill="text2"/>
      </w:tcPr>
    </w:tblStylePr>
    <w:tblStylePr w:type="lastRow">
      <w:pPr>
        <w:jc w:val="left"/>
      </w:pPr>
      <w:rPr>
        <w:rFonts w:ascii="Arial Narrow" w:hAnsi="Arial Narrow"/>
        <w:color w:val="FFFFFF" w:themeColor="background1"/>
        <w:sz w:val="20"/>
      </w:rPr>
      <w:tblPr/>
      <w:tcPr>
        <w:tcBorders>
          <w:top w:val="single" w:sz="8" w:space="0" w:color="auto"/>
          <w:left w:val="single" w:sz="8" w:space="0" w:color="auto"/>
          <w:bottom w:val="single" w:sz="8" w:space="0" w:color="auto"/>
          <w:right w:val="single" w:sz="8" w:space="0" w:color="auto"/>
          <w:insideH w:val="nil"/>
          <w:insideV w:val="single" w:sz="8" w:space="0" w:color="auto"/>
          <w:tl2br w:val="nil"/>
          <w:tr2bl w:val="nil"/>
        </w:tcBorders>
        <w:shd w:val="clear" w:color="auto" w:fill="898D8D" w:themeFill="accent2"/>
      </w:tcPr>
    </w:tblStylePr>
    <w:tblStylePr w:type="firstCol">
      <w:rPr>
        <w:rFonts w:ascii="Arial Narrow" w:hAnsi="Arial Narrow"/>
        <w:sz w:val="20"/>
      </w:rPr>
    </w:tblStylePr>
    <w:tblStylePr w:type="lastCol">
      <w:rPr>
        <w:rFonts w:ascii="Arial Narrow" w:hAnsi="Arial Narrow"/>
        <w:sz w:val="20"/>
      </w:rPr>
    </w:tblStylePr>
    <w:tblStylePr w:type="band1Horz">
      <w:rPr>
        <w:rFonts w:ascii="Arial Narrow" w:hAnsi="Arial Narrow"/>
        <w:sz w:val="20"/>
      </w:rPr>
    </w:tblStylePr>
    <w:tblStylePr w:type="band2Horz">
      <w:rPr>
        <w:rFonts w:ascii="Arial Narrow" w:hAnsi="Arial Narrow"/>
        <w:sz w:val="20"/>
      </w:rPr>
    </w:tblStylePr>
  </w:style>
  <w:style w:type="paragraph" w:customStyle="1" w:styleId="Default">
    <w:name w:val="Default"/>
    <w:rsid w:val="006C1434"/>
    <w:pPr>
      <w:autoSpaceDE w:val="0"/>
      <w:autoSpaceDN w:val="0"/>
      <w:adjustRightInd w:val="0"/>
    </w:pPr>
    <w:rPr>
      <w:rFonts w:ascii="Gotham" w:hAnsi="Gotham" w:cs="Gotham"/>
      <w:color w:val="000000"/>
      <w:sz w:val="24"/>
      <w:szCs w:val="24"/>
    </w:rPr>
  </w:style>
  <w:style w:type="paragraph" w:styleId="NoSpacing">
    <w:name w:val="No Spacing"/>
    <w:link w:val="NoSpacingChar"/>
    <w:uiPriority w:val="1"/>
    <w:qFormat/>
    <w:rsid w:val="00B9148E"/>
    <w:rPr>
      <w:rFonts w:asciiTheme="minorHAnsi" w:eastAsiaTheme="minorHAnsi" w:hAnsiTheme="minorHAnsi" w:cstheme="minorBidi"/>
      <w:sz w:val="22"/>
      <w:szCs w:val="22"/>
    </w:rPr>
  </w:style>
  <w:style w:type="character" w:customStyle="1" w:styleId="Heading4Char">
    <w:name w:val="Heading 4 Char"/>
    <w:basedOn w:val="DefaultParagraphFont"/>
    <w:link w:val="Heading4"/>
    <w:rsid w:val="00C74784"/>
    <w:rPr>
      <w:rFonts w:ascii="Century Gothic" w:hAnsi="Century Gothic"/>
      <w:b/>
      <w:i/>
    </w:rPr>
  </w:style>
  <w:style w:type="paragraph" w:styleId="ListParagraph">
    <w:name w:val="List Paragraph"/>
    <w:aliases w:val="Primary Bullet List,List Paragraph 1"/>
    <w:basedOn w:val="Normal"/>
    <w:link w:val="ListParagraphChar"/>
    <w:uiPriority w:val="34"/>
    <w:qFormat/>
    <w:rsid w:val="00947565"/>
    <w:pPr>
      <w:spacing w:after="200" w:line="276" w:lineRule="auto"/>
      <w:ind w:left="720"/>
      <w:contextualSpacing/>
    </w:pPr>
    <w:rPr>
      <w:rFonts w:asciiTheme="minorHAnsi" w:eastAsiaTheme="minorHAnsi" w:hAnsiTheme="minorHAnsi" w:cstheme="minorBidi"/>
      <w:szCs w:val="22"/>
    </w:rPr>
  </w:style>
  <w:style w:type="paragraph" w:customStyle="1" w:styleId="Call-OutBoxHeader">
    <w:name w:val="Call-Out Box Header"/>
    <w:basedOn w:val="NoSpacing"/>
    <w:next w:val="Call-OutBoxText"/>
    <w:qFormat/>
    <w:rsid w:val="00587D65"/>
    <w:pPr>
      <w:spacing w:after="120"/>
      <w:jc w:val="center"/>
    </w:pPr>
    <w:rPr>
      <w:rFonts w:ascii="Arial Narrow" w:hAnsi="Arial Narrow" w:cs="Arial"/>
      <w:b/>
      <w:color w:val="DA291C" w:themeColor="accent1"/>
      <w:sz w:val="20"/>
    </w:rPr>
  </w:style>
  <w:style w:type="paragraph" w:customStyle="1" w:styleId="Call-OutBoxText">
    <w:name w:val="Call-Out Box Text"/>
    <w:basedOn w:val="NoSpacing"/>
    <w:qFormat/>
    <w:rsid w:val="00C74784"/>
    <w:pPr>
      <w:spacing w:after="120"/>
    </w:pPr>
    <w:rPr>
      <w:rFonts w:ascii="Arial Narrow" w:hAnsi="Arial Narrow" w:cs="Arial"/>
      <w:color w:val="000000" w:themeColor="text1"/>
      <w:sz w:val="20"/>
    </w:rPr>
  </w:style>
  <w:style w:type="table" w:styleId="Table3Deffects1">
    <w:name w:val="Table 3D effects 1"/>
    <w:basedOn w:val="TableNormal"/>
    <w:rsid w:val="000247F7"/>
    <w:pPr>
      <w:spacing w:after="180" w:line="264"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3NoNumbering">
    <w:name w:val="Heading 3 No Numbering"/>
    <w:basedOn w:val="Heading3"/>
    <w:next w:val="BodyText"/>
    <w:qFormat/>
    <w:rsid w:val="00C74784"/>
    <w:pPr>
      <w:numPr>
        <w:ilvl w:val="0"/>
        <w:numId w:val="0"/>
      </w:numPr>
    </w:pPr>
  </w:style>
  <w:style w:type="paragraph" w:customStyle="1" w:styleId="TableBullets">
    <w:name w:val="Table Bullets"/>
    <w:basedOn w:val="ListParagraph"/>
    <w:qFormat/>
    <w:rsid w:val="00E55BF9"/>
    <w:pPr>
      <w:numPr>
        <w:numId w:val="6"/>
      </w:numPr>
      <w:spacing w:after="0" w:line="240" w:lineRule="auto"/>
      <w:ind w:left="259" w:hanging="259"/>
      <w:contextualSpacing w:val="0"/>
    </w:pPr>
    <w:rPr>
      <w:rFonts w:ascii="Arial Narrow" w:hAnsi="Arial Narrow"/>
      <w:sz w:val="20"/>
      <w:szCs w:val="20"/>
    </w:rPr>
  </w:style>
  <w:style w:type="paragraph" w:customStyle="1" w:styleId="StaffResumeList">
    <w:name w:val="Staff Resume List"/>
    <w:basedOn w:val="BodyTextNoSpaceAfter"/>
    <w:qFormat/>
    <w:rsid w:val="008938E0"/>
    <w:pPr>
      <w:tabs>
        <w:tab w:val="left" w:pos="5040"/>
      </w:tabs>
      <w:spacing w:after="240"/>
      <w:contextualSpacing/>
    </w:pPr>
  </w:style>
  <w:style w:type="paragraph" w:customStyle="1" w:styleId="Heading1NoNumbering">
    <w:name w:val="Heading 1 No Numbering"/>
    <w:basedOn w:val="Heading1"/>
    <w:qFormat/>
    <w:rsid w:val="008877CC"/>
    <w:pPr>
      <w:numPr>
        <w:numId w:val="0"/>
      </w:numPr>
    </w:pPr>
  </w:style>
  <w:style w:type="paragraph" w:customStyle="1" w:styleId="TableColumnHeader">
    <w:name w:val="Table Column Header"/>
    <w:basedOn w:val="Normal"/>
    <w:qFormat/>
    <w:rsid w:val="00E55BF9"/>
    <w:pPr>
      <w:spacing w:before="20" w:after="20"/>
      <w:jc w:val="center"/>
    </w:pPr>
    <w:rPr>
      <w:rFonts w:ascii="Arial Narrow" w:hAnsi="Arial Narrow"/>
      <w:b/>
      <w:color w:val="FFFFFF" w:themeColor="background1"/>
      <w:sz w:val="20"/>
    </w:rPr>
  </w:style>
  <w:style w:type="character" w:customStyle="1" w:styleId="ListParagraphChar">
    <w:name w:val="List Paragraph Char"/>
    <w:aliases w:val="Primary Bullet List Char,List Paragraph 1 Char"/>
    <w:link w:val="ListParagraph"/>
    <w:uiPriority w:val="34"/>
    <w:qFormat/>
    <w:locked/>
    <w:rsid w:val="00605298"/>
    <w:rPr>
      <w:rFonts w:asciiTheme="minorHAnsi" w:eastAsiaTheme="minorHAnsi" w:hAnsiTheme="minorHAnsi" w:cstheme="minorBidi"/>
      <w:sz w:val="22"/>
      <w:szCs w:val="22"/>
    </w:rPr>
  </w:style>
  <w:style w:type="table" w:styleId="MediumList1-Accent1">
    <w:name w:val="Medium List 1 Accent 1"/>
    <w:basedOn w:val="TableNormal"/>
    <w:uiPriority w:val="65"/>
    <w:rsid w:val="00E63CEA"/>
    <w:rPr>
      <w:rFonts w:ascii="Calibri" w:eastAsia="Calibri" w:hAnsi="Calibri"/>
      <w:color w:val="000000" w:themeColor="text1"/>
      <w:sz w:val="22"/>
      <w:szCs w:val="22"/>
    </w:rPr>
    <w:tblPr>
      <w:tblStyleRowBandSize w:val="1"/>
      <w:tblStyleColBandSize w:val="1"/>
      <w:tblBorders>
        <w:top w:val="single" w:sz="8" w:space="0" w:color="DA291C" w:themeColor="accent1"/>
        <w:bottom w:val="single" w:sz="8" w:space="0" w:color="DA291C" w:themeColor="accent1"/>
      </w:tblBorders>
    </w:tblPr>
    <w:tblStylePr w:type="firstRow">
      <w:rPr>
        <w:rFonts w:asciiTheme="majorHAnsi" w:eastAsiaTheme="majorEastAsia" w:hAnsiTheme="majorHAnsi" w:cstheme="majorBidi"/>
      </w:rPr>
      <w:tblPr/>
      <w:tcPr>
        <w:tcBorders>
          <w:top w:val="nil"/>
          <w:bottom w:val="single" w:sz="8" w:space="0" w:color="DA291C" w:themeColor="accent1"/>
        </w:tcBorders>
      </w:tcPr>
    </w:tblStylePr>
    <w:tblStylePr w:type="lastRow">
      <w:rPr>
        <w:b/>
        <w:bCs/>
        <w:color w:val="48A9C5" w:themeColor="text2"/>
      </w:rPr>
      <w:tblPr/>
      <w:tcPr>
        <w:tcBorders>
          <w:top w:val="single" w:sz="8" w:space="0" w:color="DA291C" w:themeColor="accent1"/>
          <w:bottom w:val="single" w:sz="8" w:space="0" w:color="DA291C" w:themeColor="accent1"/>
        </w:tcBorders>
      </w:tcPr>
    </w:tblStylePr>
    <w:tblStylePr w:type="firstCol">
      <w:rPr>
        <w:b/>
        <w:bCs/>
      </w:rPr>
    </w:tblStylePr>
    <w:tblStylePr w:type="lastCol">
      <w:rPr>
        <w:b/>
        <w:bCs/>
      </w:rPr>
      <w:tblPr/>
      <w:tcPr>
        <w:tcBorders>
          <w:top w:val="single" w:sz="8" w:space="0" w:color="DA291C" w:themeColor="accent1"/>
          <w:bottom w:val="single" w:sz="8" w:space="0" w:color="DA291C" w:themeColor="accent1"/>
        </w:tcBorders>
      </w:tcPr>
    </w:tblStylePr>
    <w:tblStylePr w:type="band1Vert">
      <w:tblPr/>
      <w:tcPr>
        <w:shd w:val="clear" w:color="auto" w:fill="F7C8C5" w:themeFill="accent1" w:themeFillTint="3F"/>
      </w:tcPr>
    </w:tblStylePr>
    <w:tblStylePr w:type="band1Horz">
      <w:tblPr/>
      <w:tcPr>
        <w:shd w:val="clear" w:color="auto" w:fill="F7C8C5" w:themeFill="accent1" w:themeFillTint="3F"/>
      </w:tcPr>
    </w:tblStylePr>
  </w:style>
  <w:style w:type="paragraph" w:customStyle="1" w:styleId="PPRowHeader">
    <w:name w:val="PP Row Header"/>
    <w:basedOn w:val="PPTextBold"/>
    <w:qFormat/>
    <w:rsid w:val="0021417B"/>
  </w:style>
  <w:style w:type="paragraph" w:customStyle="1" w:styleId="PPRowText">
    <w:name w:val="PP Row Text"/>
    <w:basedOn w:val="PPRowHeader"/>
    <w:qFormat/>
    <w:rsid w:val="0021417B"/>
    <w:rPr>
      <w:b w:val="0"/>
    </w:rPr>
  </w:style>
  <w:style w:type="paragraph" w:customStyle="1" w:styleId="PPTitle">
    <w:name w:val="PP Title"/>
    <w:basedOn w:val="Normal"/>
    <w:qFormat/>
    <w:rsid w:val="00187B0F"/>
    <w:pPr>
      <w:spacing w:after="0"/>
      <w:jc w:val="center"/>
    </w:pPr>
    <w:rPr>
      <w:rFonts w:ascii="Arial Narrow" w:hAnsi="Arial Narrow"/>
      <w:b/>
      <w:color w:val="FFFFFF" w:themeColor="background1"/>
      <w:szCs w:val="22"/>
    </w:rPr>
  </w:style>
  <w:style w:type="character" w:customStyle="1" w:styleId="CaptionChar">
    <w:name w:val="Caption Char"/>
    <w:basedOn w:val="DefaultParagraphFont"/>
    <w:link w:val="Caption"/>
    <w:locked/>
    <w:rsid w:val="005A0B5E"/>
    <w:rPr>
      <w:rFonts w:asciiTheme="minorHAnsi" w:eastAsiaTheme="minorHAnsi" w:hAnsiTheme="minorHAnsi" w:cstheme="minorBidi"/>
      <w:b/>
      <w:i/>
      <w:sz w:val="22"/>
      <w:szCs w:val="22"/>
    </w:rPr>
  </w:style>
  <w:style w:type="paragraph" w:customStyle="1" w:styleId="StaffProposedPosition">
    <w:name w:val="Staff Proposed &amp; Position"/>
    <w:basedOn w:val="Normal"/>
    <w:qFormat/>
    <w:rsid w:val="008938E0"/>
    <w:pPr>
      <w:tabs>
        <w:tab w:val="left" w:pos="5040"/>
      </w:tabs>
      <w:spacing w:after="0"/>
    </w:pPr>
    <w:rPr>
      <w:rFonts w:ascii="Century Gothic" w:hAnsi="Century Gothic"/>
      <w:b/>
      <w:color w:val="808080" w:themeColor="background1" w:themeShade="80"/>
      <w:sz w:val="24"/>
      <w:szCs w:val="24"/>
    </w:rPr>
  </w:style>
  <w:style w:type="paragraph" w:customStyle="1" w:styleId="PPTextHeader">
    <w:name w:val="PP Text Header"/>
    <w:basedOn w:val="PPText"/>
    <w:next w:val="PPText"/>
    <w:qFormat/>
    <w:rsid w:val="0021417B"/>
    <w:pPr>
      <w:spacing w:before="120"/>
    </w:pPr>
    <w:rPr>
      <w:rFonts w:eastAsia="Calibri"/>
      <w:i/>
      <w:color w:val="000000" w:themeColor="text1"/>
      <w:szCs w:val="22"/>
    </w:rPr>
  </w:style>
  <w:style w:type="paragraph" w:customStyle="1" w:styleId="Call-OutBoxBullet">
    <w:name w:val="Call-Out Box Bullet"/>
    <w:basedOn w:val="Call-OutBoxText"/>
    <w:qFormat/>
    <w:rsid w:val="00C74784"/>
    <w:pPr>
      <w:numPr>
        <w:numId w:val="8"/>
      </w:numPr>
      <w:contextualSpacing/>
    </w:pPr>
  </w:style>
  <w:style w:type="paragraph" w:customStyle="1" w:styleId="PPBullet">
    <w:name w:val="PP Bullet"/>
    <w:qFormat/>
    <w:rsid w:val="0021417B"/>
    <w:pPr>
      <w:widowControl w:val="0"/>
      <w:numPr>
        <w:numId w:val="7"/>
      </w:numPr>
      <w:spacing w:after="120"/>
      <w:ind w:left="259" w:hanging="259"/>
      <w:contextualSpacing/>
    </w:pPr>
    <w:rPr>
      <w:rFonts w:ascii="Arial Narrow" w:eastAsiaTheme="minorHAnsi" w:hAnsi="Arial Narrow" w:cstheme="minorBidi"/>
      <w:szCs w:val="22"/>
    </w:rPr>
  </w:style>
  <w:style w:type="paragraph" w:customStyle="1" w:styleId="BodyTextGraphic">
    <w:name w:val="Body Text Graphic"/>
    <w:basedOn w:val="BodyText"/>
    <w:next w:val="BodyText"/>
    <w:qFormat/>
    <w:rsid w:val="00E55BF9"/>
    <w:pPr>
      <w:spacing w:after="360"/>
      <w:jc w:val="center"/>
    </w:pPr>
  </w:style>
  <w:style w:type="paragraph" w:customStyle="1" w:styleId="StaffResumeHeader">
    <w:name w:val="Staff Resume Header"/>
    <w:basedOn w:val="Normal"/>
    <w:qFormat/>
    <w:rsid w:val="008938E0"/>
    <w:pPr>
      <w:pBdr>
        <w:bottom w:val="single" w:sz="4" w:space="1" w:color="auto"/>
      </w:pBdr>
      <w:spacing w:after="240"/>
    </w:pPr>
    <w:rPr>
      <w:rFonts w:ascii="Century Gothic" w:eastAsiaTheme="minorHAnsi" w:hAnsi="Century Gothic" w:cstheme="minorBidi"/>
      <w:b/>
      <w:i/>
      <w:color w:val="DA291C"/>
      <w:spacing w:val="20"/>
      <w:sz w:val="28"/>
      <w:szCs w:val="22"/>
    </w:rPr>
  </w:style>
  <w:style w:type="paragraph" w:customStyle="1" w:styleId="PPText">
    <w:name w:val="PP Text"/>
    <w:basedOn w:val="Normal"/>
    <w:qFormat/>
    <w:rsid w:val="003F1A40"/>
    <w:pPr>
      <w:spacing w:after="120"/>
    </w:pPr>
    <w:rPr>
      <w:rFonts w:ascii="Arial Narrow" w:hAnsi="Arial Narrow"/>
      <w:sz w:val="20"/>
    </w:rPr>
  </w:style>
  <w:style w:type="character" w:customStyle="1" w:styleId="NoSpacingChar">
    <w:name w:val="No Spacing Char"/>
    <w:basedOn w:val="DefaultParagraphFont"/>
    <w:link w:val="NoSpacing"/>
    <w:uiPriority w:val="1"/>
    <w:rsid w:val="00372DF9"/>
    <w:rPr>
      <w:rFonts w:asciiTheme="minorHAnsi" w:eastAsiaTheme="minorHAnsi" w:hAnsiTheme="minorHAnsi" w:cstheme="minorBidi"/>
      <w:sz w:val="22"/>
      <w:szCs w:val="22"/>
    </w:rPr>
  </w:style>
  <w:style w:type="paragraph" w:customStyle="1" w:styleId="BodyTextNoSpaceAfter">
    <w:name w:val="Body Text No Space After"/>
    <w:basedOn w:val="BodyText"/>
    <w:qFormat/>
    <w:rsid w:val="00372DF9"/>
    <w:pPr>
      <w:spacing w:after="0"/>
    </w:pPr>
  </w:style>
  <w:style w:type="character" w:customStyle="1" w:styleId="HeaderChar">
    <w:name w:val="Header Char"/>
    <w:aliases w:val="Page Header Char,table text Char"/>
    <w:basedOn w:val="DefaultParagraphFont"/>
    <w:link w:val="Header"/>
    <w:uiPriority w:val="99"/>
    <w:rsid w:val="00372DF9"/>
    <w:rPr>
      <w:rFonts w:ascii="Century Gothic" w:hAnsi="Century Gothic"/>
      <w:b/>
      <w:color w:val="DA291C"/>
      <w:spacing w:val="60"/>
      <w:sz w:val="28"/>
    </w:rPr>
  </w:style>
  <w:style w:type="paragraph" w:customStyle="1" w:styleId="HeaderLine2">
    <w:name w:val="Header Line 2"/>
    <w:basedOn w:val="Header"/>
    <w:qFormat/>
    <w:rsid w:val="00372DF9"/>
    <w:rPr>
      <w:rFonts w:ascii="Times New Roman" w:hAnsi="Times New Roman"/>
      <w:b w:val="0"/>
      <w:i/>
      <w:color w:val="808080" w:themeColor="background1" w:themeShade="80"/>
      <w:spacing w:val="0"/>
      <w:sz w:val="24"/>
    </w:rPr>
  </w:style>
  <w:style w:type="character" w:customStyle="1" w:styleId="Heading1Char">
    <w:name w:val="Heading 1 Char"/>
    <w:basedOn w:val="DefaultParagraphFont"/>
    <w:link w:val="Heading1"/>
    <w:rsid w:val="008229DE"/>
    <w:rPr>
      <w:rFonts w:ascii="Century Gothic" w:eastAsiaTheme="minorHAnsi" w:hAnsi="Century Gothic" w:cstheme="minorBidi"/>
      <w:b/>
      <w:i/>
      <w:color w:val="DA291C"/>
      <w:spacing w:val="20"/>
      <w:sz w:val="28"/>
      <w:szCs w:val="22"/>
    </w:rPr>
  </w:style>
  <w:style w:type="character" w:customStyle="1" w:styleId="Heading2Char">
    <w:name w:val="Heading 2 Char"/>
    <w:basedOn w:val="DefaultParagraphFont"/>
    <w:link w:val="Heading2"/>
    <w:rsid w:val="00B36112"/>
    <w:rPr>
      <w:rFonts w:ascii="Century Gothic" w:hAnsi="Century Gothic" w:cs="Arial"/>
      <w:b/>
      <w:bCs/>
      <w:iCs/>
      <w:color w:val="808080" w:themeColor="background1" w:themeShade="80"/>
      <w:sz w:val="24"/>
      <w:szCs w:val="28"/>
    </w:rPr>
  </w:style>
  <w:style w:type="paragraph" w:customStyle="1" w:styleId="Heading2NoNumbering">
    <w:name w:val="Heading 2 No Numbering"/>
    <w:next w:val="BodyText"/>
    <w:qFormat/>
    <w:rsid w:val="00E06C1F"/>
    <w:rPr>
      <w:rFonts w:ascii="Century Gothic" w:eastAsiaTheme="minorHAnsi" w:hAnsi="Century Gothic"/>
      <w:b/>
      <w:color w:val="808080" w:themeColor="background1" w:themeShade="80"/>
      <w:sz w:val="24"/>
      <w:szCs w:val="22"/>
    </w:rPr>
  </w:style>
  <w:style w:type="paragraph" w:customStyle="1" w:styleId="TOCUnlinked">
    <w:name w:val="TOC Unlinked"/>
    <w:basedOn w:val="Normal"/>
    <w:qFormat/>
    <w:rsid w:val="00E06C1F"/>
    <w:pPr>
      <w:pBdr>
        <w:bottom w:val="single" w:sz="4" w:space="1" w:color="auto"/>
      </w:pBdr>
      <w:tabs>
        <w:tab w:val="left" w:pos="720"/>
        <w:tab w:val="right" w:pos="9360"/>
      </w:tabs>
      <w:spacing w:before="360" w:after="120"/>
    </w:pPr>
    <w:rPr>
      <w:rFonts w:ascii="Arial Narrow" w:eastAsia="Calibri" w:hAnsi="Arial Narrow"/>
      <w:sz w:val="36"/>
      <w:szCs w:val="22"/>
    </w:rPr>
  </w:style>
  <w:style w:type="paragraph" w:customStyle="1" w:styleId="PPReferenceHeading">
    <w:name w:val="PP Reference Heading"/>
    <w:basedOn w:val="Normal"/>
    <w:next w:val="BodyText"/>
    <w:qFormat/>
    <w:rsid w:val="00DC17F5"/>
    <w:pPr>
      <w:spacing w:after="120"/>
    </w:pPr>
    <w:rPr>
      <w:rFonts w:ascii="Century Gothic" w:hAnsi="Century Gothic"/>
      <w:b/>
      <w:color w:val="DA291C" w:themeColor="accent1"/>
      <w:szCs w:val="24"/>
    </w:rPr>
  </w:style>
  <w:style w:type="paragraph" w:customStyle="1" w:styleId="PPTextBold">
    <w:name w:val="PP Text Bold"/>
    <w:basedOn w:val="PPText"/>
    <w:qFormat/>
    <w:rsid w:val="003F1A40"/>
    <w:pPr>
      <w:spacing w:before="20" w:after="20"/>
    </w:pPr>
    <w:rPr>
      <w:rFonts w:eastAsia="Calibri"/>
      <w:b/>
      <w:color w:val="000000" w:themeColor="text1"/>
      <w:szCs w:val="22"/>
    </w:rPr>
  </w:style>
  <w:style w:type="paragraph" w:customStyle="1" w:styleId="CoverLetterTextOnly">
    <w:name w:val="Cover Letter Text Only"/>
    <w:qFormat/>
    <w:rsid w:val="001A2EB4"/>
    <w:rPr>
      <w:sz w:val="24"/>
    </w:rPr>
  </w:style>
  <w:style w:type="paragraph" w:customStyle="1" w:styleId="TableTextCentered">
    <w:name w:val="Table Text Centered"/>
    <w:basedOn w:val="TableText"/>
    <w:qFormat/>
    <w:rsid w:val="00DC17F5"/>
    <w:pPr>
      <w:jc w:val="center"/>
    </w:pPr>
  </w:style>
  <w:style w:type="paragraph" w:customStyle="1" w:styleId="TableTextWhitefont">
    <w:name w:val="Table Text White font"/>
    <w:basedOn w:val="TableText"/>
    <w:qFormat/>
    <w:rsid w:val="00DC17F5"/>
    <w:rPr>
      <w:color w:val="FFFFFF" w:themeColor="background1"/>
    </w:rPr>
  </w:style>
  <w:style w:type="paragraph" w:customStyle="1" w:styleId="PrpCoverSheetHeading">
    <w:name w:val="Prp Cover Sheet Heading"/>
    <w:basedOn w:val="BodyTextNoSpaceAfter"/>
    <w:qFormat/>
    <w:rsid w:val="00DC17F5"/>
    <w:rPr>
      <w:rFonts w:ascii="Arial" w:hAnsi="Arial" w:cs="Arial"/>
      <w:b/>
    </w:rPr>
  </w:style>
  <w:style w:type="table" w:customStyle="1" w:styleId="Abt">
    <w:name w:val="Abt"/>
    <w:basedOn w:val="AbtFinal"/>
    <w:uiPriority w:val="99"/>
    <w:rsid w:val="002849F4"/>
    <w:rPr>
      <w:sz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wordWrap/>
        <w:jc w:val="left"/>
      </w:pPr>
      <w:rPr>
        <w:rFonts w:ascii="Arial Narrow" w:hAnsi="Arial Narrow"/>
        <w:b/>
        <w:caps w:val="0"/>
        <w:smallCaps w:val="0"/>
        <w:strike w:val="0"/>
        <w:dstrike w:val="0"/>
        <w:vanish w:val="0"/>
        <w:color w:val="FFFFFF" w:themeColor="background1"/>
        <w:sz w:val="18"/>
        <w:vertAlign w:val="baseline"/>
      </w:rPr>
      <w:tblPr/>
      <w:tcPr>
        <w:tcBorders>
          <w:top w:val="single" w:sz="8" w:space="0" w:color="auto"/>
          <w:left w:val="single" w:sz="8" w:space="0" w:color="auto"/>
          <w:bottom w:val="single" w:sz="8" w:space="0" w:color="auto"/>
          <w:right w:val="single" w:sz="8" w:space="0" w:color="auto"/>
          <w:insideH w:val="single" w:sz="4" w:space="0" w:color="auto"/>
          <w:insideV w:val="single" w:sz="8" w:space="0" w:color="auto"/>
        </w:tcBorders>
        <w:shd w:val="clear" w:color="auto" w:fill="C3C6A8" w:themeFill="accent4"/>
      </w:tcPr>
    </w:tblStylePr>
    <w:tblStylePr w:type="lastRow">
      <w:pPr>
        <w:jc w:val="left"/>
      </w:pPr>
      <w:rPr>
        <w:rFonts w:ascii="Arial" w:hAnsi="Arial"/>
        <w:color w:val="FFFFFF" w:themeColor="background1"/>
        <w:sz w:val="18"/>
      </w:rPr>
      <w:tblPr/>
      <w:tcPr>
        <w:tcBorders>
          <w:top w:val="single" w:sz="8" w:space="0" w:color="auto"/>
          <w:left w:val="single" w:sz="8" w:space="0" w:color="auto"/>
          <w:bottom w:val="single" w:sz="8" w:space="0" w:color="auto"/>
          <w:right w:val="single" w:sz="8" w:space="0" w:color="auto"/>
          <w:insideH w:val="nil"/>
          <w:insideV w:val="single" w:sz="8" w:space="0" w:color="auto"/>
          <w:tl2br w:val="nil"/>
          <w:tr2bl w:val="nil"/>
        </w:tcBorders>
        <w:shd w:val="clear" w:color="auto" w:fill="898D8D" w:themeFill="accent2"/>
      </w:tcPr>
    </w:tblStylePr>
    <w:tblStylePr w:type="firstCol">
      <w:rPr>
        <w:rFonts w:ascii="Arial Narrow" w:hAnsi="Arial Narrow"/>
        <w:sz w:val="20"/>
      </w:rPr>
    </w:tblStylePr>
    <w:tblStylePr w:type="lastCol">
      <w:rPr>
        <w:rFonts w:ascii="Arial Narrow" w:hAnsi="Arial Narrow"/>
        <w:sz w:val="20"/>
      </w:rPr>
    </w:tblStylePr>
    <w:tblStylePr w:type="band1Horz">
      <w:rPr>
        <w:rFonts w:ascii="Arial Narrow" w:hAnsi="Arial Narrow"/>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l2br w:val="nil"/>
          <w:tr2bl w:val="nil"/>
        </w:tcBorders>
        <w:shd w:val="clear" w:color="auto" w:fill="E7E8E8" w:themeFill="accent2" w:themeFillTint="33"/>
      </w:tcPr>
    </w:tblStylePr>
    <w:tblStylePr w:type="band2Horz">
      <w:rPr>
        <w:rFonts w:ascii="Arial Narrow" w:hAnsi="Arial Narrow"/>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tcPr>
    </w:tblStylePr>
  </w:style>
  <w:style w:type="table" w:customStyle="1" w:styleId="AbtFinal1">
    <w:name w:val="Abt Final1"/>
    <w:basedOn w:val="TableNormal"/>
    <w:uiPriority w:val="99"/>
    <w:rsid w:val="005A0B5E"/>
    <w:rPr>
      <w:rFonts w:ascii="Arial Narrow" w:hAnsi="Arial Narrow"/>
      <w:sz w:val="18"/>
    </w:rPr>
    <w:tblPr>
      <w:tblStyleRow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jc w:val="left"/>
      </w:pPr>
      <w:rPr>
        <w:rFonts w:ascii="Arial Narrow" w:hAnsi="Arial Narrow" w:hint="default"/>
        <w:b/>
        <w:caps w:val="0"/>
        <w:smallCaps w:val="0"/>
        <w:strike w:val="0"/>
        <w:dstrike w:val="0"/>
        <w:vanish w:val="0"/>
        <w:webHidden w:val="0"/>
        <w:sz w:val="18"/>
        <w:szCs w:val="18"/>
        <w:u w:val="none"/>
        <w:effect w:val="none"/>
        <w:specVanish w:val="0"/>
      </w:rPr>
      <w:tblPr/>
      <w:tcPr>
        <w:tcBorders>
          <w:top w:val="single" w:sz="8" w:space="0" w:color="auto"/>
          <w:left w:val="single" w:sz="8" w:space="0" w:color="auto"/>
          <w:bottom w:val="single" w:sz="8" w:space="0" w:color="auto"/>
          <w:right w:val="single" w:sz="8" w:space="0" w:color="auto"/>
          <w:insideH w:val="single" w:sz="4" w:space="0" w:color="auto"/>
          <w:insideV w:val="single" w:sz="8" w:space="0" w:color="auto"/>
        </w:tcBorders>
        <w:shd w:val="clear" w:color="auto" w:fill="C3C6A8"/>
        <w:vAlign w:val="bottom"/>
      </w:tcPr>
    </w:tblStylePr>
    <w:tblStylePr w:type="lastRow">
      <w:pPr>
        <w:jc w:val="left"/>
      </w:pPr>
      <w:rPr>
        <w:rFonts w:ascii="Arial" w:hAnsi="Arial" w:cs="Arial" w:hint="default"/>
        <w:sz w:val="18"/>
        <w:szCs w:val="18"/>
      </w:rPr>
      <w:tblPr/>
      <w:tcPr>
        <w:tcBorders>
          <w:top w:val="single" w:sz="8" w:space="0" w:color="auto"/>
          <w:left w:val="single" w:sz="8" w:space="0" w:color="auto"/>
          <w:bottom w:val="single" w:sz="8" w:space="0" w:color="auto"/>
          <w:right w:val="single" w:sz="8" w:space="0" w:color="auto"/>
          <w:insideH w:val="nil"/>
          <w:insideV w:val="single" w:sz="8" w:space="0" w:color="auto"/>
          <w:tl2br w:val="nil"/>
          <w:tr2bl w:val="nil"/>
        </w:tcBorders>
        <w:shd w:val="clear" w:color="auto" w:fill="898D8D"/>
      </w:tcPr>
    </w:tblStylePr>
    <w:tblStylePr w:type="band1Horz">
      <w:rPr>
        <w:rFonts w:ascii="Arial Narrow" w:hAnsi="Arial Narrow" w:hint="default"/>
        <w:sz w:val="18"/>
        <w:szCs w:val="18"/>
      </w:rPr>
      <w:tblPr/>
      <w:tcPr>
        <w:tcBorders>
          <w:top w:val="single" w:sz="8" w:space="0" w:color="000000"/>
          <w:left w:val="single" w:sz="8" w:space="0" w:color="000000"/>
          <w:bottom w:val="single" w:sz="8" w:space="0" w:color="000000"/>
          <w:right w:val="single" w:sz="8" w:space="0" w:color="000000"/>
          <w:insideH w:val="nil"/>
          <w:insideV w:val="single" w:sz="8" w:space="0" w:color="000000"/>
          <w:tl2br w:val="nil"/>
          <w:tr2bl w:val="nil"/>
        </w:tcBorders>
        <w:shd w:val="clear" w:color="auto" w:fill="E7E8E8"/>
      </w:tcPr>
    </w:tblStylePr>
    <w:tblStylePr w:type="band2Horz">
      <w:rPr>
        <w:rFonts w:ascii="Arial Narrow" w:hAnsi="Arial Narrow" w:hint="default"/>
        <w:sz w:val="18"/>
        <w:szCs w:val="18"/>
      </w:rPr>
      <w:tblPr/>
      <w:tcPr>
        <w:tcBorders>
          <w:top w:val="single" w:sz="8" w:space="0" w:color="000000"/>
          <w:left w:val="single" w:sz="8" w:space="0" w:color="000000"/>
          <w:bottom w:val="single" w:sz="8" w:space="0" w:color="000000"/>
          <w:right w:val="single" w:sz="8" w:space="0" w:color="000000"/>
          <w:insideH w:val="single" w:sz="8" w:space="0" w:color="000000"/>
          <w:insideV w:val="single" w:sz="8" w:space="0" w:color="000000"/>
          <w:tl2br w:val="nil"/>
          <w:tr2bl w:val="nil"/>
        </w:tcBorders>
      </w:tcPr>
    </w:tblStylePr>
  </w:style>
  <w:style w:type="paragraph" w:customStyle="1" w:styleId="Call-OutBoxTextArial">
    <w:name w:val="Call-Out Box Text (Arial)"/>
    <w:basedOn w:val="NoSpacing"/>
    <w:qFormat/>
    <w:rsid w:val="003478EA"/>
    <w:pPr>
      <w:ind w:left="180" w:right="204"/>
    </w:pPr>
    <w:rPr>
      <w:rFonts w:ascii="Arial" w:hAnsi="Arial" w:cs="Arial"/>
      <w:i/>
      <w:sz w:val="20"/>
    </w:rPr>
  </w:style>
  <w:style w:type="paragraph" w:styleId="Date">
    <w:name w:val="Date"/>
    <w:basedOn w:val="Normal"/>
    <w:next w:val="Normal"/>
    <w:link w:val="DateChar"/>
    <w:rsid w:val="00587D65"/>
    <w:pPr>
      <w:tabs>
        <w:tab w:val="left" w:pos="360"/>
        <w:tab w:val="left" w:pos="720"/>
        <w:tab w:val="left" w:pos="1080"/>
        <w:tab w:val="left" w:pos="1440"/>
        <w:tab w:val="left" w:pos="1800"/>
      </w:tabs>
      <w:spacing w:after="270" w:line="300" w:lineRule="auto"/>
    </w:pPr>
    <w:rPr>
      <w:rFonts w:ascii="Arial" w:hAnsi="Arial"/>
      <w:sz w:val="18"/>
      <w:szCs w:val="18"/>
    </w:rPr>
  </w:style>
  <w:style w:type="character" w:customStyle="1" w:styleId="DateChar">
    <w:name w:val="Date Char"/>
    <w:basedOn w:val="DefaultParagraphFont"/>
    <w:link w:val="Date"/>
    <w:rsid w:val="00587D65"/>
    <w:rPr>
      <w:rFonts w:ascii="Arial" w:hAnsi="Arial"/>
      <w:sz w:val="18"/>
      <w:szCs w:val="18"/>
    </w:rPr>
  </w:style>
  <w:style w:type="paragraph" w:customStyle="1" w:styleId="ExhibitText">
    <w:name w:val="Exhibit Text"/>
    <w:basedOn w:val="TableText"/>
    <w:qFormat/>
    <w:rsid w:val="00587D65"/>
    <w:pPr>
      <w:spacing w:before="40" w:after="40"/>
    </w:pPr>
    <w:rPr>
      <w:rFonts w:cs="Arial"/>
      <w:bCs/>
      <w:color w:val="000000"/>
      <w:sz w:val="22"/>
    </w:rPr>
  </w:style>
  <w:style w:type="paragraph" w:customStyle="1" w:styleId="ExhibitColumnHeader">
    <w:name w:val="Exhibit Column Header"/>
    <w:basedOn w:val="ExhibitText"/>
    <w:qFormat/>
    <w:rsid w:val="00587D65"/>
    <w:pPr>
      <w:jc w:val="center"/>
    </w:pPr>
    <w:rPr>
      <w:rFonts w:eastAsiaTheme="minorHAnsi"/>
      <w:b/>
    </w:rPr>
  </w:style>
  <w:style w:type="paragraph" w:customStyle="1" w:styleId="ExhibitRowHeader">
    <w:name w:val="Exhibit Row Header"/>
    <w:basedOn w:val="ExhibitText"/>
    <w:rsid w:val="00C2753D"/>
    <w:rPr>
      <w:b/>
      <w:color w:val="FFFFFF" w:themeColor="background1"/>
    </w:rPr>
  </w:style>
  <w:style w:type="paragraph" w:customStyle="1" w:styleId="ExhibitBullet">
    <w:name w:val="Exhibit_Bullet"/>
    <w:basedOn w:val="Bullets"/>
    <w:qFormat/>
    <w:rsid w:val="00C2753D"/>
    <w:pPr>
      <w:numPr>
        <w:numId w:val="11"/>
      </w:numPr>
      <w:spacing w:before="40" w:after="40"/>
    </w:pPr>
    <w:rPr>
      <w:rFonts w:ascii="Arial Narrow" w:hAnsi="Arial Narrow"/>
      <w:lang w:val="en-US"/>
    </w:rPr>
  </w:style>
  <w:style w:type="character" w:customStyle="1" w:styleId="CommentTextChar">
    <w:name w:val="Comment Text Char"/>
    <w:basedOn w:val="DefaultParagraphFont"/>
    <w:link w:val="CommentText"/>
    <w:uiPriority w:val="99"/>
    <w:semiHidden/>
    <w:rsid w:val="008A7D9B"/>
  </w:style>
  <w:style w:type="paragraph" w:styleId="Revision">
    <w:name w:val="Revision"/>
    <w:hidden/>
    <w:uiPriority w:val="99"/>
    <w:semiHidden/>
    <w:rsid w:val="00AE1CDE"/>
    <w:rPr>
      <w:sz w:val="22"/>
    </w:rPr>
  </w:style>
  <w:style w:type="paragraph" w:customStyle="1" w:styleId="ResumeHeader1">
    <w:name w:val="Resume Header 1"/>
    <w:qFormat/>
    <w:rsid w:val="00F74235"/>
    <w:pPr>
      <w:keepNext/>
      <w:keepLines/>
      <w:spacing w:before="120" w:after="60"/>
    </w:pPr>
    <w:rPr>
      <w:rFonts w:ascii="Arial" w:eastAsiaTheme="minorHAnsi" w:hAnsi="Arial" w:cs="Arial"/>
      <w:b/>
      <w:color w:val="DA291C"/>
      <w:spacing w:val="-2"/>
      <w:sz w:val="24"/>
      <w:szCs w:val="22"/>
    </w:rPr>
  </w:style>
  <w:style w:type="paragraph" w:customStyle="1" w:styleId="ResumeBodyText">
    <w:name w:val="Resume Body Text"/>
    <w:qFormat/>
    <w:rsid w:val="00F74235"/>
    <w:pPr>
      <w:spacing w:after="120"/>
    </w:pPr>
    <w:rPr>
      <w:snapToGrid w:val="0"/>
      <w:sz w:val="24"/>
      <w:szCs w:val="22"/>
    </w:rPr>
  </w:style>
  <w:style w:type="paragraph" w:customStyle="1" w:styleId="FrontPageCallOutText">
    <w:name w:val="Front Page Call Out Text"/>
    <w:basedOn w:val="ResumeBodyText"/>
    <w:qFormat/>
    <w:rsid w:val="00F74235"/>
    <w:rPr>
      <w:rFonts w:ascii="Arial Narrow" w:hAnsi="Arial Narrow"/>
    </w:rPr>
  </w:style>
  <w:style w:type="paragraph" w:customStyle="1" w:styleId="BulletFrontPageCallOut">
    <w:name w:val="Bullet Front Page Call Out"/>
    <w:qFormat/>
    <w:rsid w:val="00F74235"/>
    <w:pPr>
      <w:numPr>
        <w:numId w:val="13"/>
      </w:numPr>
      <w:spacing w:after="120"/>
      <w:ind w:left="234" w:hanging="234"/>
      <w:contextualSpacing/>
    </w:pPr>
    <w:rPr>
      <w:rFonts w:ascii="Arial Narrow" w:hAnsi="Arial Narrow"/>
      <w:snapToGrid w:val="0"/>
      <w:sz w:val="24"/>
      <w:szCs w:val="22"/>
    </w:rPr>
  </w:style>
  <w:style w:type="paragraph" w:customStyle="1" w:styleId="ResumePublications">
    <w:name w:val="Resume Publications"/>
    <w:qFormat/>
    <w:rsid w:val="00F74235"/>
    <w:pPr>
      <w:spacing w:after="120"/>
      <w:ind w:left="360" w:hanging="360"/>
    </w:pPr>
    <w:rPr>
      <w:snapToGrid w:val="0"/>
      <w:sz w:val="24"/>
      <w:szCs w:val="22"/>
    </w:rPr>
  </w:style>
  <w:style w:type="paragraph" w:customStyle="1" w:styleId="StaffName">
    <w:name w:val="Staff Name"/>
    <w:qFormat/>
    <w:rsid w:val="00F74235"/>
    <w:pPr>
      <w:spacing w:line="264" w:lineRule="auto"/>
      <w:jc w:val="right"/>
    </w:pPr>
    <w:rPr>
      <w:rFonts w:ascii="Arial" w:eastAsiaTheme="minorHAnsi" w:hAnsi="Arial" w:cs="Arial"/>
      <w:b/>
      <w:noProof/>
      <w:color w:val="DA291C"/>
      <w:sz w:val="28"/>
      <w:szCs w:val="28"/>
    </w:rPr>
  </w:style>
  <w:style w:type="paragraph" w:customStyle="1" w:styleId="ProposedPosition">
    <w:name w:val="Proposed Position"/>
    <w:qFormat/>
    <w:rsid w:val="00F74235"/>
    <w:pPr>
      <w:spacing w:after="200" w:line="276" w:lineRule="auto"/>
      <w:jc w:val="right"/>
    </w:pPr>
    <w:rPr>
      <w:rFonts w:ascii="Arial" w:eastAsiaTheme="minorHAnsi" w:hAnsi="Arial" w:cs="Arial"/>
      <w:sz w:val="22"/>
      <w:szCs w:val="22"/>
    </w:rPr>
  </w:style>
  <w:style w:type="paragraph" w:customStyle="1" w:styleId="ResumeText">
    <w:name w:val="Resume Text"/>
    <w:basedOn w:val="Normal"/>
    <w:qFormat/>
    <w:rsid w:val="00F74235"/>
    <w:pPr>
      <w:tabs>
        <w:tab w:val="left" w:pos="-1440"/>
      </w:tabs>
      <w:spacing w:after="0"/>
    </w:pPr>
    <w:rPr>
      <w:snapToGrid w:val="0"/>
      <w:sz w:val="20"/>
      <w:szCs w:val="22"/>
    </w:rPr>
  </w:style>
  <w:style w:type="character" w:customStyle="1" w:styleId="st">
    <w:name w:val="st"/>
    <w:basedOn w:val="DefaultParagraphFont"/>
    <w:rsid w:val="00F74235"/>
  </w:style>
  <w:style w:type="paragraph" w:customStyle="1" w:styleId="BioBullet">
    <w:name w:val="Bio Bullet"/>
    <w:basedOn w:val="Normal"/>
    <w:link w:val="BioBulletChar"/>
    <w:rsid w:val="002069A4"/>
    <w:pPr>
      <w:numPr>
        <w:numId w:val="14"/>
      </w:numPr>
      <w:tabs>
        <w:tab w:val="left" w:pos="144"/>
        <w:tab w:val="left" w:pos="432"/>
        <w:tab w:val="left" w:pos="864"/>
        <w:tab w:val="left" w:pos="1296"/>
        <w:tab w:val="left" w:pos="1728"/>
        <w:tab w:val="left" w:pos="2160"/>
      </w:tabs>
      <w:spacing w:after="0" w:line="220" w:lineRule="exact"/>
    </w:pPr>
    <w:rPr>
      <w:sz w:val="18"/>
    </w:rPr>
  </w:style>
  <w:style w:type="character" w:customStyle="1" w:styleId="BioBulletChar">
    <w:name w:val="Bio Bullet Char"/>
    <w:basedOn w:val="DefaultParagraphFont"/>
    <w:link w:val="BioBullet"/>
    <w:rsid w:val="002069A4"/>
    <w:rPr>
      <w:sz w:val="18"/>
    </w:rPr>
  </w:style>
  <w:style w:type="paragraph" w:customStyle="1" w:styleId="BioBodyTextNoIndent">
    <w:name w:val="Bio Body Text (No Indent)"/>
    <w:basedOn w:val="BodyText"/>
    <w:rsid w:val="004D008F"/>
    <w:pPr>
      <w:tabs>
        <w:tab w:val="left" w:pos="432"/>
        <w:tab w:val="left" w:pos="864"/>
        <w:tab w:val="left" w:pos="1296"/>
        <w:tab w:val="left" w:pos="1728"/>
        <w:tab w:val="left" w:pos="2160"/>
      </w:tabs>
      <w:spacing w:before="220" w:after="0" w:line="220" w:lineRule="exact"/>
    </w:pPr>
    <w:rPr>
      <w:rFonts w:ascii="Arial" w:hAnsi="Arial"/>
      <w:sz w:val="18"/>
      <w:szCs w:val="24"/>
      <w:lang w:val="en-US"/>
    </w:rPr>
  </w:style>
  <w:style w:type="paragraph" w:customStyle="1" w:styleId="OptimalBioHeading">
    <w:name w:val="Optimal Bio Heading"/>
    <w:basedOn w:val="Normal"/>
    <w:rsid w:val="00C76ACE"/>
    <w:pPr>
      <w:spacing w:after="0"/>
    </w:pPr>
    <w:rPr>
      <w:b/>
      <w:sz w:val="26"/>
    </w:rPr>
  </w:style>
  <w:style w:type="paragraph" w:customStyle="1" w:styleId="OptimalEmplyHistory">
    <w:name w:val="Optimal Emply History"/>
    <w:basedOn w:val="Normal"/>
    <w:rsid w:val="00C76ACE"/>
    <w:pPr>
      <w:tabs>
        <w:tab w:val="left" w:pos="1440"/>
      </w:tabs>
      <w:spacing w:after="0"/>
      <w:ind w:left="1440" w:hanging="1440"/>
    </w:pPr>
    <w:rPr>
      <w:bCs/>
      <w:snapToGrid w:val="0"/>
      <w:sz w:val="24"/>
    </w:rPr>
  </w:style>
  <w:style w:type="character" w:customStyle="1" w:styleId="normaltextrun">
    <w:name w:val="normaltextrun"/>
    <w:basedOn w:val="DefaultParagraphFont"/>
    <w:rsid w:val="00C76ACE"/>
  </w:style>
  <w:style w:type="character" w:customStyle="1" w:styleId="spellingerror">
    <w:name w:val="spellingerror"/>
    <w:basedOn w:val="DefaultParagraphFont"/>
    <w:rsid w:val="00C76ACE"/>
  </w:style>
  <w:style w:type="character" w:customStyle="1" w:styleId="eop">
    <w:name w:val="eop"/>
    <w:basedOn w:val="DefaultParagraphFont"/>
    <w:rsid w:val="00C76ACE"/>
  </w:style>
  <w:style w:type="character" w:customStyle="1" w:styleId="BodyChar">
    <w:name w:val="Body Char"/>
    <w:link w:val="Body"/>
    <w:locked/>
    <w:rsid w:val="00C76ACE"/>
    <w:rPr>
      <w:rFonts w:eastAsia="SimSun"/>
      <w:sz w:val="24"/>
      <w:szCs w:val="24"/>
      <w:lang w:val="x-none" w:eastAsia="zh-CN"/>
    </w:rPr>
  </w:style>
  <w:style w:type="paragraph" w:customStyle="1" w:styleId="Body">
    <w:name w:val="Body"/>
    <w:basedOn w:val="Normal"/>
    <w:link w:val="BodyChar"/>
    <w:rsid w:val="00C76ACE"/>
    <w:pPr>
      <w:spacing w:after="120"/>
    </w:pPr>
    <w:rPr>
      <w:rFonts w:eastAsia="SimSun"/>
      <w:sz w:val="24"/>
      <w:szCs w:val="24"/>
      <w:lang w:val="x-none" w:eastAsia="zh-CN"/>
    </w:rPr>
  </w:style>
  <w:style w:type="paragraph" w:styleId="BodyText2">
    <w:name w:val="Body Text 2"/>
    <w:basedOn w:val="Normal"/>
    <w:link w:val="BodyText2Char"/>
    <w:rsid w:val="002D1579"/>
    <w:pPr>
      <w:spacing w:after="120" w:line="480" w:lineRule="auto"/>
    </w:pPr>
  </w:style>
  <w:style w:type="character" w:customStyle="1" w:styleId="BodyText2Char">
    <w:name w:val="Body Text 2 Char"/>
    <w:basedOn w:val="DefaultParagraphFont"/>
    <w:link w:val="BodyText2"/>
    <w:rsid w:val="002D1579"/>
    <w:rPr>
      <w:sz w:val="22"/>
    </w:rPr>
  </w:style>
  <w:style w:type="paragraph" w:styleId="TOAHeading">
    <w:name w:val="toa heading"/>
    <w:basedOn w:val="Normal"/>
    <w:next w:val="Normal"/>
    <w:rsid w:val="002D1579"/>
    <w:pPr>
      <w:tabs>
        <w:tab w:val="left" w:pos="9000"/>
        <w:tab w:val="right" w:pos="9360"/>
      </w:tabs>
      <w:suppressAutoHyphens/>
      <w:spacing w:after="0"/>
    </w:pPr>
    <w:rPr>
      <w:sz w:val="24"/>
    </w:rPr>
  </w:style>
  <w:style w:type="paragraph" w:styleId="Title">
    <w:name w:val="Title"/>
    <w:basedOn w:val="Normal"/>
    <w:link w:val="TitleChar"/>
    <w:qFormat/>
    <w:rsid w:val="002D1579"/>
    <w:pPr>
      <w:tabs>
        <w:tab w:val="left" w:pos="0"/>
      </w:tabs>
      <w:suppressAutoHyphens/>
      <w:spacing w:after="0"/>
      <w:jc w:val="center"/>
    </w:pPr>
    <w:rPr>
      <w:b/>
      <w:spacing w:val="-3"/>
      <w:sz w:val="36"/>
    </w:rPr>
  </w:style>
  <w:style w:type="character" w:customStyle="1" w:styleId="TitleChar">
    <w:name w:val="Title Char"/>
    <w:basedOn w:val="DefaultParagraphFont"/>
    <w:link w:val="Title"/>
    <w:rsid w:val="002D1579"/>
    <w:rPr>
      <w:b/>
      <w:spacing w:val="-3"/>
      <w:sz w:val="36"/>
    </w:rPr>
  </w:style>
  <w:style w:type="character" w:customStyle="1" w:styleId="JobTitleboldCharChar">
    <w:name w:val="Job Title bold Char Char"/>
    <w:basedOn w:val="DefaultParagraphFont"/>
    <w:link w:val="JobTitlebold"/>
    <w:locked/>
    <w:rsid w:val="00DB5D6D"/>
    <w:rPr>
      <w:rFonts w:ascii="Verdana" w:hAnsi="Verdana" w:cs="Courier New"/>
      <w:b/>
      <w:bCs/>
      <w:sz w:val="19"/>
    </w:rPr>
  </w:style>
  <w:style w:type="paragraph" w:customStyle="1" w:styleId="JobTitlebold">
    <w:name w:val="Job Title bold"/>
    <w:basedOn w:val="Normal"/>
    <w:link w:val="JobTitleboldCharChar"/>
    <w:rsid w:val="00DB5D6D"/>
    <w:pPr>
      <w:spacing w:before="120" w:after="0"/>
    </w:pPr>
    <w:rPr>
      <w:rFonts w:ascii="Verdana" w:hAnsi="Verdana" w:cs="Courier New"/>
      <w:b/>
      <w:bCs/>
      <w:sz w:val="19"/>
    </w:rPr>
  </w:style>
  <w:style w:type="paragraph" w:customStyle="1" w:styleId="CoverTextRed16pt">
    <w:name w:val="Cover Text  Red 16pt"/>
    <w:basedOn w:val="Normal"/>
    <w:qFormat/>
    <w:rsid w:val="00CD3610"/>
    <w:pPr>
      <w:tabs>
        <w:tab w:val="left" w:pos="720"/>
        <w:tab w:val="left" w:pos="1080"/>
        <w:tab w:val="left" w:pos="1440"/>
        <w:tab w:val="left" w:pos="1800"/>
        <w:tab w:val="left" w:pos="6660"/>
      </w:tabs>
      <w:spacing w:after="0" w:line="264" w:lineRule="auto"/>
      <w:ind w:left="6490" w:right="-540"/>
      <w:jc w:val="right"/>
    </w:pPr>
    <w:rPr>
      <w:rFonts w:ascii="Arial" w:hAnsi="Arial"/>
      <w:b/>
      <w:color w:val="DA291C"/>
      <w:sz w:val="32"/>
      <w:szCs w:val="32"/>
    </w:rPr>
  </w:style>
  <w:style w:type="paragraph" w:styleId="NormalWeb">
    <w:name w:val="Normal (Web)"/>
    <w:basedOn w:val="Normal"/>
    <w:uiPriority w:val="99"/>
    <w:unhideWhenUsed/>
    <w:rsid w:val="000626F0"/>
    <w:pPr>
      <w:spacing w:before="100" w:beforeAutospacing="1" w:after="100" w:afterAutospacing="1"/>
    </w:pPr>
    <w:rPr>
      <w:sz w:val="24"/>
      <w:szCs w:val="24"/>
    </w:rPr>
  </w:style>
  <w:style w:type="paragraph" w:customStyle="1" w:styleId="LetterAddress">
    <w:name w:val="Letter Address"/>
    <w:basedOn w:val="Normal"/>
    <w:qFormat/>
    <w:rsid w:val="00D94736"/>
    <w:pPr>
      <w:snapToGrid w:val="0"/>
      <w:spacing w:before="40" w:after="0"/>
    </w:pPr>
    <w:rPr>
      <w:rFonts w:ascii="Arial" w:hAnsi="Arial"/>
      <w:color w:val="D0D3D4" w:themeColor="accent3"/>
      <w:spacing w:val="2"/>
      <w:sz w:val="14"/>
      <w:szCs w:val="14"/>
    </w:rPr>
  </w:style>
  <w:style w:type="paragraph" w:customStyle="1" w:styleId="Regarding">
    <w:name w:val="Regarding"/>
    <w:basedOn w:val="Normal"/>
    <w:next w:val="Normal"/>
    <w:qFormat/>
    <w:rsid w:val="00D94736"/>
    <w:pPr>
      <w:spacing w:before="240" w:after="480" w:line="252" w:lineRule="auto"/>
    </w:pPr>
    <w:rPr>
      <w:rFonts w:ascii="Arial" w:hAnsi="Arial"/>
      <w:b/>
      <w:color w:val="EEECE1" w:themeColor="background2"/>
      <w:sz w:val="18"/>
      <w:szCs w:val="18"/>
    </w:rPr>
  </w:style>
  <w:style w:type="paragraph" w:styleId="ListBullet3">
    <w:name w:val="List Bullet 3"/>
    <w:basedOn w:val="ListBullet"/>
    <w:rsid w:val="00D94736"/>
    <w:pPr>
      <w:numPr>
        <w:numId w:val="25"/>
      </w:numPr>
      <w:tabs>
        <w:tab w:val="clear" w:pos="1656"/>
        <w:tab w:val="left" w:pos="216"/>
      </w:tabs>
      <w:spacing w:after="240" w:line="252" w:lineRule="auto"/>
      <w:ind w:left="720" w:hanging="720"/>
    </w:pPr>
    <w:rPr>
      <w:rFonts w:ascii="Arial" w:hAnsi="Arial"/>
      <w:color w:val="EEECE1" w:themeColor="background2"/>
      <w:sz w:val="18"/>
      <w:szCs w:val="18"/>
    </w:rPr>
  </w:style>
  <w:style w:type="table" w:styleId="GridTable1Light">
    <w:name w:val="Grid Table 1 Light"/>
    <w:basedOn w:val="TableNormal"/>
    <w:uiPriority w:val="46"/>
    <w:rsid w:val="00D94736"/>
    <w:rPr>
      <w:rFonts w:asciiTheme="minorHAnsi" w:eastAsiaTheme="minorEastAsia"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Bullet">
    <w:name w:val="List Bullet"/>
    <w:basedOn w:val="Normal"/>
    <w:semiHidden/>
    <w:unhideWhenUsed/>
    <w:rsid w:val="00D94736"/>
    <w:pPr>
      <w:numPr>
        <w:numId w:val="26"/>
      </w:numPr>
      <w:contextualSpacing/>
    </w:pPr>
  </w:style>
  <w:style w:type="character" w:styleId="FollowedHyperlink">
    <w:name w:val="FollowedHyperlink"/>
    <w:basedOn w:val="DefaultParagraphFont"/>
    <w:semiHidden/>
    <w:unhideWhenUsed/>
    <w:rsid w:val="00CC006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5064">
      <w:bodyDiv w:val="1"/>
      <w:marLeft w:val="0"/>
      <w:marRight w:val="0"/>
      <w:marTop w:val="0"/>
      <w:marBottom w:val="0"/>
      <w:divBdr>
        <w:top w:val="none" w:sz="0" w:space="0" w:color="auto"/>
        <w:left w:val="none" w:sz="0" w:space="0" w:color="auto"/>
        <w:bottom w:val="none" w:sz="0" w:space="0" w:color="auto"/>
        <w:right w:val="none" w:sz="0" w:space="0" w:color="auto"/>
      </w:divBdr>
    </w:div>
    <w:div w:id="7024960">
      <w:bodyDiv w:val="1"/>
      <w:marLeft w:val="0"/>
      <w:marRight w:val="0"/>
      <w:marTop w:val="0"/>
      <w:marBottom w:val="0"/>
      <w:divBdr>
        <w:top w:val="none" w:sz="0" w:space="0" w:color="auto"/>
        <w:left w:val="none" w:sz="0" w:space="0" w:color="auto"/>
        <w:bottom w:val="none" w:sz="0" w:space="0" w:color="auto"/>
        <w:right w:val="none" w:sz="0" w:space="0" w:color="auto"/>
      </w:divBdr>
    </w:div>
    <w:div w:id="102651223">
      <w:bodyDiv w:val="1"/>
      <w:marLeft w:val="0"/>
      <w:marRight w:val="0"/>
      <w:marTop w:val="0"/>
      <w:marBottom w:val="0"/>
      <w:divBdr>
        <w:top w:val="none" w:sz="0" w:space="0" w:color="auto"/>
        <w:left w:val="none" w:sz="0" w:space="0" w:color="auto"/>
        <w:bottom w:val="none" w:sz="0" w:space="0" w:color="auto"/>
        <w:right w:val="none" w:sz="0" w:space="0" w:color="auto"/>
      </w:divBdr>
    </w:div>
    <w:div w:id="199048555">
      <w:bodyDiv w:val="1"/>
      <w:marLeft w:val="0"/>
      <w:marRight w:val="0"/>
      <w:marTop w:val="0"/>
      <w:marBottom w:val="0"/>
      <w:divBdr>
        <w:top w:val="none" w:sz="0" w:space="0" w:color="auto"/>
        <w:left w:val="none" w:sz="0" w:space="0" w:color="auto"/>
        <w:bottom w:val="none" w:sz="0" w:space="0" w:color="auto"/>
        <w:right w:val="none" w:sz="0" w:space="0" w:color="auto"/>
      </w:divBdr>
    </w:div>
    <w:div w:id="353504364">
      <w:bodyDiv w:val="1"/>
      <w:marLeft w:val="0"/>
      <w:marRight w:val="0"/>
      <w:marTop w:val="0"/>
      <w:marBottom w:val="0"/>
      <w:divBdr>
        <w:top w:val="none" w:sz="0" w:space="0" w:color="auto"/>
        <w:left w:val="none" w:sz="0" w:space="0" w:color="auto"/>
        <w:bottom w:val="none" w:sz="0" w:space="0" w:color="auto"/>
        <w:right w:val="none" w:sz="0" w:space="0" w:color="auto"/>
      </w:divBdr>
    </w:div>
    <w:div w:id="354580070">
      <w:bodyDiv w:val="1"/>
      <w:marLeft w:val="0"/>
      <w:marRight w:val="0"/>
      <w:marTop w:val="0"/>
      <w:marBottom w:val="0"/>
      <w:divBdr>
        <w:top w:val="none" w:sz="0" w:space="0" w:color="auto"/>
        <w:left w:val="none" w:sz="0" w:space="0" w:color="auto"/>
        <w:bottom w:val="none" w:sz="0" w:space="0" w:color="auto"/>
        <w:right w:val="none" w:sz="0" w:space="0" w:color="auto"/>
      </w:divBdr>
    </w:div>
    <w:div w:id="595092427">
      <w:bodyDiv w:val="1"/>
      <w:marLeft w:val="0"/>
      <w:marRight w:val="0"/>
      <w:marTop w:val="0"/>
      <w:marBottom w:val="0"/>
      <w:divBdr>
        <w:top w:val="none" w:sz="0" w:space="0" w:color="auto"/>
        <w:left w:val="none" w:sz="0" w:space="0" w:color="auto"/>
        <w:bottom w:val="none" w:sz="0" w:space="0" w:color="auto"/>
        <w:right w:val="none" w:sz="0" w:space="0" w:color="auto"/>
      </w:divBdr>
    </w:div>
    <w:div w:id="602811242">
      <w:bodyDiv w:val="1"/>
      <w:marLeft w:val="0"/>
      <w:marRight w:val="0"/>
      <w:marTop w:val="0"/>
      <w:marBottom w:val="0"/>
      <w:divBdr>
        <w:top w:val="none" w:sz="0" w:space="0" w:color="auto"/>
        <w:left w:val="none" w:sz="0" w:space="0" w:color="auto"/>
        <w:bottom w:val="none" w:sz="0" w:space="0" w:color="auto"/>
        <w:right w:val="none" w:sz="0" w:space="0" w:color="auto"/>
      </w:divBdr>
    </w:div>
    <w:div w:id="657347497">
      <w:bodyDiv w:val="1"/>
      <w:marLeft w:val="0"/>
      <w:marRight w:val="0"/>
      <w:marTop w:val="0"/>
      <w:marBottom w:val="1800"/>
      <w:divBdr>
        <w:top w:val="none" w:sz="0" w:space="0" w:color="auto"/>
        <w:left w:val="none" w:sz="0" w:space="0" w:color="auto"/>
        <w:bottom w:val="none" w:sz="0" w:space="0" w:color="auto"/>
        <w:right w:val="none" w:sz="0" w:space="0" w:color="auto"/>
      </w:divBdr>
      <w:divsChild>
        <w:div w:id="1440101814">
          <w:marLeft w:val="0"/>
          <w:marRight w:val="0"/>
          <w:marTop w:val="0"/>
          <w:marBottom w:val="0"/>
          <w:divBdr>
            <w:top w:val="none" w:sz="0" w:space="0" w:color="auto"/>
            <w:left w:val="none" w:sz="0" w:space="0" w:color="auto"/>
            <w:bottom w:val="none" w:sz="0" w:space="0" w:color="auto"/>
            <w:right w:val="none" w:sz="0" w:space="0" w:color="auto"/>
          </w:divBdr>
          <w:divsChild>
            <w:div w:id="849493669">
              <w:marLeft w:val="0"/>
              <w:marRight w:val="0"/>
              <w:marTop w:val="360"/>
              <w:marBottom w:val="330"/>
              <w:divBdr>
                <w:top w:val="none" w:sz="0" w:space="0" w:color="auto"/>
                <w:left w:val="none" w:sz="0" w:space="0" w:color="auto"/>
                <w:bottom w:val="none" w:sz="0" w:space="0" w:color="auto"/>
                <w:right w:val="none" w:sz="0" w:space="0" w:color="auto"/>
              </w:divBdr>
              <w:divsChild>
                <w:div w:id="126823485">
                  <w:marLeft w:val="0"/>
                  <w:marRight w:val="0"/>
                  <w:marTop w:val="0"/>
                  <w:marBottom w:val="0"/>
                  <w:divBdr>
                    <w:top w:val="none" w:sz="0" w:space="0" w:color="auto"/>
                    <w:left w:val="none" w:sz="0" w:space="0" w:color="auto"/>
                    <w:bottom w:val="none" w:sz="0" w:space="0" w:color="auto"/>
                    <w:right w:val="none" w:sz="0" w:space="0" w:color="auto"/>
                  </w:divBdr>
                  <w:divsChild>
                    <w:div w:id="1718431948">
                      <w:marLeft w:val="0"/>
                      <w:marRight w:val="0"/>
                      <w:marTop w:val="0"/>
                      <w:marBottom w:val="0"/>
                      <w:divBdr>
                        <w:top w:val="none" w:sz="0" w:space="0" w:color="auto"/>
                        <w:left w:val="none" w:sz="0" w:space="0" w:color="auto"/>
                        <w:bottom w:val="none" w:sz="0" w:space="0" w:color="auto"/>
                        <w:right w:val="none" w:sz="0" w:space="0" w:color="auto"/>
                      </w:divBdr>
                      <w:divsChild>
                        <w:div w:id="736245366">
                          <w:marLeft w:val="0"/>
                          <w:marRight w:val="735"/>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835269028">
      <w:bodyDiv w:val="1"/>
      <w:marLeft w:val="0"/>
      <w:marRight w:val="0"/>
      <w:marTop w:val="0"/>
      <w:marBottom w:val="0"/>
      <w:divBdr>
        <w:top w:val="none" w:sz="0" w:space="0" w:color="auto"/>
        <w:left w:val="none" w:sz="0" w:space="0" w:color="auto"/>
        <w:bottom w:val="none" w:sz="0" w:space="0" w:color="auto"/>
        <w:right w:val="none" w:sz="0" w:space="0" w:color="auto"/>
      </w:divBdr>
      <w:divsChild>
        <w:div w:id="1454396580">
          <w:marLeft w:val="547"/>
          <w:marRight w:val="0"/>
          <w:marTop w:val="240"/>
          <w:marBottom w:val="240"/>
          <w:divBdr>
            <w:top w:val="none" w:sz="0" w:space="0" w:color="auto"/>
            <w:left w:val="none" w:sz="0" w:space="0" w:color="auto"/>
            <w:bottom w:val="none" w:sz="0" w:space="0" w:color="auto"/>
            <w:right w:val="none" w:sz="0" w:space="0" w:color="auto"/>
          </w:divBdr>
        </w:div>
        <w:div w:id="351079720">
          <w:marLeft w:val="547"/>
          <w:marRight w:val="0"/>
          <w:marTop w:val="240"/>
          <w:marBottom w:val="240"/>
          <w:divBdr>
            <w:top w:val="none" w:sz="0" w:space="0" w:color="auto"/>
            <w:left w:val="none" w:sz="0" w:space="0" w:color="auto"/>
            <w:bottom w:val="none" w:sz="0" w:space="0" w:color="auto"/>
            <w:right w:val="none" w:sz="0" w:space="0" w:color="auto"/>
          </w:divBdr>
        </w:div>
      </w:divsChild>
    </w:div>
    <w:div w:id="846947619">
      <w:bodyDiv w:val="1"/>
      <w:marLeft w:val="0"/>
      <w:marRight w:val="0"/>
      <w:marTop w:val="0"/>
      <w:marBottom w:val="0"/>
      <w:divBdr>
        <w:top w:val="none" w:sz="0" w:space="0" w:color="auto"/>
        <w:left w:val="none" w:sz="0" w:space="0" w:color="auto"/>
        <w:bottom w:val="none" w:sz="0" w:space="0" w:color="auto"/>
        <w:right w:val="none" w:sz="0" w:space="0" w:color="auto"/>
      </w:divBdr>
      <w:divsChild>
        <w:div w:id="1271472346">
          <w:marLeft w:val="547"/>
          <w:marRight w:val="0"/>
          <w:marTop w:val="240"/>
          <w:marBottom w:val="240"/>
          <w:divBdr>
            <w:top w:val="none" w:sz="0" w:space="0" w:color="auto"/>
            <w:left w:val="none" w:sz="0" w:space="0" w:color="auto"/>
            <w:bottom w:val="none" w:sz="0" w:space="0" w:color="auto"/>
            <w:right w:val="none" w:sz="0" w:space="0" w:color="auto"/>
          </w:divBdr>
        </w:div>
        <w:div w:id="244539480">
          <w:marLeft w:val="547"/>
          <w:marRight w:val="0"/>
          <w:marTop w:val="240"/>
          <w:marBottom w:val="240"/>
          <w:divBdr>
            <w:top w:val="none" w:sz="0" w:space="0" w:color="auto"/>
            <w:left w:val="none" w:sz="0" w:space="0" w:color="auto"/>
            <w:bottom w:val="none" w:sz="0" w:space="0" w:color="auto"/>
            <w:right w:val="none" w:sz="0" w:space="0" w:color="auto"/>
          </w:divBdr>
        </w:div>
      </w:divsChild>
    </w:div>
    <w:div w:id="987058280">
      <w:bodyDiv w:val="1"/>
      <w:marLeft w:val="0"/>
      <w:marRight w:val="0"/>
      <w:marTop w:val="0"/>
      <w:marBottom w:val="0"/>
      <w:divBdr>
        <w:top w:val="none" w:sz="0" w:space="0" w:color="auto"/>
        <w:left w:val="none" w:sz="0" w:space="0" w:color="auto"/>
        <w:bottom w:val="none" w:sz="0" w:space="0" w:color="auto"/>
        <w:right w:val="none" w:sz="0" w:space="0" w:color="auto"/>
      </w:divBdr>
    </w:div>
    <w:div w:id="1089812015">
      <w:bodyDiv w:val="1"/>
      <w:marLeft w:val="0"/>
      <w:marRight w:val="0"/>
      <w:marTop w:val="0"/>
      <w:marBottom w:val="0"/>
      <w:divBdr>
        <w:top w:val="none" w:sz="0" w:space="0" w:color="auto"/>
        <w:left w:val="none" w:sz="0" w:space="0" w:color="auto"/>
        <w:bottom w:val="none" w:sz="0" w:space="0" w:color="auto"/>
        <w:right w:val="none" w:sz="0" w:space="0" w:color="auto"/>
      </w:divBdr>
    </w:div>
    <w:div w:id="1166092302">
      <w:bodyDiv w:val="1"/>
      <w:marLeft w:val="0"/>
      <w:marRight w:val="0"/>
      <w:marTop w:val="0"/>
      <w:marBottom w:val="0"/>
      <w:divBdr>
        <w:top w:val="none" w:sz="0" w:space="0" w:color="auto"/>
        <w:left w:val="none" w:sz="0" w:space="0" w:color="auto"/>
        <w:bottom w:val="none" w:sz="0" w:space="0" w:color="auto"/>
        <w:right w:val="none" w:sz="0" w:space="0" w:color="auto"/>
      </w:divBdr>
    </w:div>
    <w:div w:id="1244071635">
      <w:bodyDiv w:val="1"/>
      <w:marLeft w:val="0"/>
      <w:marRight w:val="0"/>
      <w:marTop w:val="0"/>
      <w:marBottom w:val="0"/>
      <w:divBdr>
        <w:top w:val="none" w:sz="0" w:space="0" w:color="auto"/>
        <w:left w:val="none" w:sz="0" w:space="0" w:color="auto"/>
        <w:bottom w:val="none" w:sz="0" w:space="0" w:color="auto"/>
        <w:right w:val="none" w:sz="0" w:space="0" w:color="auto"/>
      </w:divBdr>
    </w:div>
    <w:div w:id="1308364753">
      <w:bodyDiv w:val="1"/>
      <w:marLeft w:val="0"/>
      <w:marRight w:val="0"/>
      <w:marTop w:val="0"/>
      <w:marBottom w:val="0"/>
      <w:divBdr>
        <w:top w:val="none" w:sz="0" w:space="0" w:color="auto"/>
        <w:left w:val="none" w:sz="0" w:space="0" w:color="auto"/>
        <w:bottom w:val="none" w:sz="0" w:space="0" w:color="auto"/>
        <w:right w:val="none" w:sz="0" w:space="0" w:color="auto"/>
      </w:divBdr>
    </w:div>
    <w:div w:id="1322077153">
      <w:bodyDiv w:val="1"/>
      <w:marLeft w:val="0"/>
      <w:marRight w:val="0"/>
      <w:marTop w:val="0"/>
      <w:marBottom w:val="0"/>
      <w:divBdr>
        <w:top w:val="none" w:sz="0" w:space="0" w:color="auto"/>
        <w:left w:val="none" w:sz="0" w:space="0" w:color="auto"/>
        <w:bottom w:val="none" w:sz="0" w:space="0" w:color="auto"/>
        <w:right w:val="none" w:sz="0" w:space="0" w:color="auto"/>
      </w:divBdr>
    </w:div>
    <w:div w:id="1395927827">
      <w:bodyDiv w:val="1"/>
      <w:marLeft w:val="0"/>
      <w:marRight w:val="0"/>
      <w:marTop w:val="0"/>
      <w:marBottom w:val="0"/>
      <w:divBdr>
        <w:top w:val="none" w:sz="0" w:space="0" w:color="auto"/>
        <w:left w:val="none" w:sz="0" w:space="0" w:color="auto"/>
        <w:bottom w:val="none" w:sz="0" w:space="0" w:color="auto"/>
        <w:right w:val="none" w:sz="0" w:space="0" w:color="auto"/>
      </w:divBdr>
    </w:div>
    <w:div w:id="1429346351">
      <w:bodyDiv w:val="1"/>
      <w:marLeft w:val="0"/>
      <w:marRight w:val="0"/>
      <w:marTop w:val="0"/>
      <w:marBottom w:val="0"/>
      <w:divBdr>
        <w:top w:val="none" w:sz="0" w:space="0" w:color="auto"/>
        <w:left w:val="none" w:sz="0" w:space="0" w:color="auto"/>
        <w:bottom w:val="none" w:sz="0" w:space="0" w:color="auto"/>
        <w:right w:val="none" w:sz="0" w:space="0" w:color="auto"/>
      </w:divBdr>
      <w:divsChild>
        <w:div w:id="871304098">
          <w:marLeft w:val="0"/>
          <w:marRight w:val="0"/>
          <w:marTop w:val="0"/>
          <w:marBottom w:val="0"/>
          <w:divBdr>
            <w:top w:val="none" w:sz="0" w:space="0" w:color="auto"/>
            <w:left w:val="none" w:sz="0" w:space="0" w:color="auto"/>
            <w:bottom w:val="none" w:sz="0" w:space="0" w:color="auto"/>
            <w:right w:val="none" w:sz="0" w:space="0" w:color="auto"/>
          </w:divBdr>
          <w:divsChild>
            <w:div w:id="937327012">
              <w:marLeft w:val="0"/>
              <w:marRight w:val="0"/>
              <w:marTop w:val="0"/>
              <w:marBottom w:val="0"/>
              <w:divBdr>
                <w:top w:val="none" w:sz="0" w:space="0" w:color="auto"/>
                <w:left w:val="none" w:sz="0" w:space="0" w:color="auto"/>
                <w:bottom w:val="none" w:sz="0" w:space="0" w:color="auto"/>
                <w:right w:val="none" w:sz="0" w:space="0" w:color="auto"/>
              </w:divBdr>
              <w:divsChild>
                <w:div w:id="11529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181311">
      <w:bodyDiv w:val="1"/>
      <w:marLeft w:val="0"/>
      <w:marRight w:val="0"/>
      <w:marTop w:val="0"/>
      <w:marBottom w:val="0"/>
      <w:divBdr>
        <w:top w:val="none" w:sz="0" w:space="0" w:color="auto"/>
        <w:left w:val="none" w:sz="0" w:space="0" w:color="auto"/>
        <w:bottom w:val="none" w:sz="0" w:space="0" w:color="auto"/>
        <w:right w:val="none" w:sz="0" w:space="0" w:color="auto"/>
      </w:divBdr>
    </w:div>
    <w:div w:id="1528178199">
      <w:bodyDiv w:val="1"/>
      <w:marLeft w:val="0"/>
      <w:marRight w:val="0"/>
      <w:marTop w:val="0"/>
      <w:marBottom w:val="0"/>
      <w:divBdr>
        <w:top w:val="none" w:sz="0" w:space="0" w:color="auto"/>
        <w:left w:val="none" w:sz="0" w:space="0" w:color="auto"/>
        <w:bottom w:val="none" w:sz="0" w:space="0" w:color="auto"/>
        <w:right w:val="none" w:sz="0" w:space="0" w:color="auto"/>
      </w:divBdr>
      <w:divsChild>
        <w:div w:id="807550729">
          <w:marLeft w:val="0"/>
          <w:marRight w:val="0"/>
          <w:marTop w:val="0"/>
          <w:marBottom w:val="0"/>
          <w:divBdr>
            <w:top w:val="none" w:sz="0" w:space="0" w:color="auto"/>
            <w:left w:val="none" w:sz="0" w:space="0" w:color="auto"/>
            <w:bottom w:val="none" w:sz="0" w:space="0" w:color="auto"/>
            <w:right w:val="none" w:sz="0" w:space="0" w:color="auto"/>
          </w:divBdr>
          <w:divsChild>
            <w:div w:id="37011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896109">
      <w:bodyDiv w:val="1"/>
      <w:marLeft w:val="0"/>
      <w:marRight w:val="0"/>
      <w:marTop w:val="0"/>
      <w:marBottom w:val="0"/>
      <w:divBdr>
        <w:top w:val="none" w:sz="0" w:space="0" w:color="auto"/>
        <w:left w:val="none" w:sz="0" w:space="0" w:color="auto"/>
        <w:bottom w:val="none" w:sz="0" w:space="0" w:color="auto"/>
        <w:right w:val="none" w:sz="0" w:space="0" w:color="auto"/>
      </w:divBdr>
    </w:div>
    <w:div w:id="1657873868">
      <w:bodyDiv w:val="1"/>
      <w:marLeft w:val="0"/>
      <w:marRight w:val="0"/>
      <w:marTop w:val="0"/>
      <w:marBottom w:val="0"/>
      <w:divBdr>
        <w:top w:val="none" w:sz="0" w:space="0" w:color="auto"/>
        <w:left w:val="none" w:sz="0" w:space="0" w:color="auto"/>
        <w:bottom w:val="none" w:sz="0" w:space="0" w:color="auto"/>
        <w:right w:val="none" w:sz="0" w:space="0" w:color="auto"/>
      </w:divBdr>
    </w:div>
    <w:div w:id="1756245793">
      <w:bodyDiv w:val="1"/>
      <w:marLeft w:val="0"/>
      <w:marRight w:val="0"/>
      <w:marTop w:val="0"/>
      <w:marBottom w:val="0"/>
      <w:divBdr>
        <w:top w:val="none" w:sz="0" w:space="0" w:color="auto"/>
        <w:left w:val="none" w:sz="0" w:space="0" w:color="auto"/>
        <w:bottom w:val="none" w:sz="0" w:space="0" w:color="auto"/>
        <w:right w:val="none" w:sz="0" w:space="0" w:color="auto"/>
      </w:divBdr>
    </w:div>
    <w:div w:id="1772167019">
      <w:bodyDiv w:val="1"/>
      <w:marLeft w:val="0"/>
      <w:marRight w:val="0"/>
      <w:marTop w:val="0"/>
      <w:marBottom w:val="0"/>
      <w:divBdr>
        <w:top w:val="none" w:sz="0" w:space="0" w:color="auto"/>
        <w:left w:val="none" w:sz="0" w:space="0" w:color="auto"/>
        <w:bottom w:val="none" w:sz="0" w:space="0" w:color="auto"/>
        <w:right w:val="none" w:sz="0" w:space="0" w:color="auto"/>
      </w:divBdr>
    </w:div>
    <w:div w:id="1801410255">
      <w:bodyDiv w:val="1"/>
      <w:marLeft w:val="0"/>
      <w:marRight w:val="0"/>
      <w:marTop w:val="0"/>
      <w:marBottom w:val="0"/>
      <w:divBdr>
        <w:top w:val="none" w:sz="0" w:space="0" w:color="auto"/>
        <w:left w:val="none" w:sz="0" w:space="0" w:color="auto"/>
        <w:bottom w:val="none" w:sz="0" w:space="0" w:color="auto"/>
        <w:right w:val="none" w:sz="0" w:space="0" w:color="auto"/>
      </w:divBdr>
    </w:div>
    <w:div w:id="1891305568">
      <w:bodyDiv w:val="1"/>
      <w:marLeft w:val="0"/>
      <w:marRight w:val="0"/>
      <w:marTop w:val="0"/>
      <w:marBottom w:val="0"/>
      <w:divBdr>
        <w:top w:val="none" w:sz="0" w:space="0" w:color="auto"/>
        <w:left w:val="none" w:sz="0" w:space="0" w:color="auto"/>
        <w:bottom w:val="none" w:sz="0" w:space="0" w:color="auto"/>
        <w:right w:val="none" w:sz="0" w:space="0" w:color="auto"/>
      </w:divBdr>
    </w:div>
    <w:div w:id="209462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www.milliman.com/2018-Benchmark-APCD-Methodology" TargetMode="External"/><Relationship Id="rId10" Type="http://schemas.openxmlformats.org/officeDocument/2006/relationships/hyperlink" Target="https://www.milliman.com/2018-Benchmark-APCD-Methodology"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milliman.com/2018-Benchmark-APCD-Methodology"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milliman.com/2018-Benchmark-APCD-Methodology" TargetMode="External"/><Relationship Id="rId1" Type="http://schemas.openxmlformats.org/officeDocument/2006/relationships/hyperlink" Target="https://www.milliman.com/2018-Benchmark-APCD-Methodology" TargetMode="External"/></Relationships>
</file>

<file path=word/theme/theme1.xml><?xml version="1.0" encoding="utf-8"?>
<a:theme xmlns:a="http://schemas.openxmlformats.org/drawingml/2006/main" name="Office Theme">
  <a:themeElements>
    <a:clrScheme name="Abt Proposal Color Scheme">
      <a:dk1>
        <a:sysClr val="windowText" lastClr="000000"/>
      </a:dk1>
      <a:lt1>
        <a:sysClr val="window" lastClr="FFFFFF"/>
      </a:lt1>
      <a:dk2>
        <a:srgbClr val="48A9C5"/>
      </a:dk2>
      <a:lt2>
        <a:srgbClr val="EEECE1"/>
      </a:lt2>
      <a:accent1>
        <a:srgbClr val="DA291C"/>
      </a:accent1>
      <a:accent2>
        <a:srgbClr val="898D8D"/>
      </a:accent2>
      <a:accent3>
        <a:srgbClr val="D0D3D4"/>
      </a:accent3>
      <a:accent4>
        <a:srgbClr val="C3C6A8"/>
      </a:accent4>
      <a:accent5>
        <a:srgbClr val="DFD1A7"/>
      </a:accent5>
      <a:accent6>
        <a:srgbClr val="B7C9D3"/>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345EA-D612-43A0-A972-FD47F7270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17</Pages>
  <Words>6116</Words>
  <Characters>34866</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Abt Single-Sided Body Template</vt:lpstr>
    </vt:vector>
  </TitlesOfParts>
  <Company>Abt Associates Inc.</Company>
  <LinksUpToDate>false</LinksUpToDate>
  <CharactersWithSpaces>40901</CharactersWithSpaces>
  <SharedDoc>false</SharedDoc>
  <HLinks>
    <vt:vector size="18" baseType="variant">
      <vt:variant>
        <vt:i4>1507382</vt:i4>
      </vt:variant>
      <vt:variant>
        <vt:i4>14</vt:i4>
      </vt:variant>
      <vt:variant>
        <vt:i4>0</vt:i4>
      </vt:variant>
      <vt:variant>
        <vt:i4>5</vt:i4>
      </vt:variant>
      <vt:variant>
        <vt:lpwstr/>
      </vt:variant>
      <vt:variant>
        <vt:lpwstr>_Toc245919048</vt:lpwstr>
      </vt:variant>
      <vt:variant>
        <vt:i4>1507382</vt:i4>
      </vt:variant>
      <vt:variant>
        <vt:i4>8</vt:i4>
      </vt:variant>
      <vt:variant>
        <vt:i4>0</vt:i4>
      </vt:variant>
      <vt:variant>
        <vt:i4>5</vt:i4>
      </vt:variant>
      <vt:variant>
        <vt:lpwstr/>
      </vt:variant>
      <vt:variant>
        <vt:lpwstr>_Toc245919047</vt:lpwstr>
      </vt:variant>
      <vt:variant>
        <vt:i4>1507382</vt:i4>
      </vt:variant>
      <vt:variant>
        <vt:i4>2</vt:i4>
      </vt:variant>
      <vt:variant>
        <vt:i4>0</vt:i4>
      </vt:variant>
      <vt:variant>
        <vt:i4>5</vt:i4>
      </vt:variant>
      <vt:variant>
        <vt:lpwstr/>
      </vt:variant>
      <vt:variant>
        <vt:lpwstr>_Toc245919046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Abt Single-Sided Body Template</dc:title>
  <dc:creator>Missy Robinson</dc:creator>
  <cp:keywords>Single-Sided body Templates</cp:keywords>
  <cp:lastModifiedBy>Betty Fout</cp:lastModifiedBy>
  <cp:revision>4</cp:revision>
  <cp:lastPrinted>2020-03-02T21:55:00Z</cp:lastPrinted>
  <dcterms:created xsi:type="dcterms:W3CDTF">2020-08-07T15:47:00Z</dcterms:created>
  <dcterms:modified xsi:type="dcterms:W3CDTF">2020-08-07T17:05:00Z</dcterms:modified>
  <cp:category>Templates</cp:category>
</cp:coreProperties>
</file>